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96F06" w14:textId="77777777" w:rsidR="00D87141" w:rsidRPr="007625A0" w:rsidRDefault="00D87141" w:rsidP="00F301F7">
      <w:pPr>
        <w:spacing w:line="360" w:lineRule="auto"/>
      </w:pPr>
      <w:r w:rsidRPr="007625A0">
        <w:rPr>
          <w:rFonts w:cs="Arial"/>
          <w:b/>
          <w:noProof/>
          <w:color w:val="3F2A56"/>
          <w:spacing w:val="-2"/>
          <w:sz w:val="28"/>
          <w:szCs w:val="28"/>
        </w:rPr>
        <w:drawing>
          <wp:anchor distT="0" distB="0" distL="114300" distR="114300" simplePos="0" relativeHeight="251659264" behindDoc="1" locked="0" layoutInCell="1" allowOverlap="1" wp14:anchorId="26509507" wp14:editId="7C71E955">
            <wp:simplePos x="0" y="0"/>
            <wp:positionH relativeFrom="margin">
              <wp:posOffset>-121534</wp:posOffset>
            </wp:positionH>
            <wp:positionV relativeFrom="paragraph">
              <wp:posOffset>-3248</wp:posOffset>
            </wp:positionV>
            <wp:extent cx="1761567" cy="1596788"/>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1567" cy="1596788"/>
                    </a:xfrm>
                    <a:prstGeom prst="rect">
                      <a:avLst/>
                    </a:prstGeom>
                  </pic:spPr>
                </pic:pic>
              </a:graphicData>
            </a:graphic>
            <wp14:sizeRelH relativeFrom="margin">
              <wp14:pctWidth>0</wp14:pctWidth>
            </wp14:sizeRelH>
            <wp14:sizeRelV relativeFrom="margin">
              <wp14:pctHeight>0</wp14:pctHeight>
            </wp14:sizeRelV>
          </wp:anchor>
        </w:drawing>
      </w:r>
    </w:p>
    <w:p w14:paraId="65450E12" w14:textId="77777777" w:rsidR="00D87141" w:rsidRPr="007625A0" w:rsidRDefault="00D87141" w:rsidP="00F301F7">
      <w:pPr>
        <w:pStyle w:val="TitleText"/>
        <w:spacing w:before="0" w:line="360" w:lineRule="auto"/>
        <w:jc w:val="left"/>
      </w:pPr>
      <w:bookmarkStart w:id="0" w:name="_Hlk34667579"/>
    </w:p>
    <w:p w14:paraId="2539C107" w14:textId="77777777" w:rsidR="00D87141" w:rsidRPr="007625A0" w:rsidRDefault="00D87141" w:rsidP="00F301F7">
      <w:pPr>
        <w:pStyle w:val="TitleText"/>
        <w:spacing w:before="0" w:line="360" w:lineRule="auto"/>
        <w:jc w:val="left"/>
      </w:pPr>
    </w:p>
    <w:p w14:paraId="33AEE004" w14:textId="77777777" w:rsidR="00D87141" w:rsidRPr="007625A0" w:rsidRDefault="00D87141" w:rsidP="00F301F7">
      <w:pPr>
        <w:pStyle w:val="TitleText"/>
        <w:spacing w:before="0" w:line="360" w:lineRule="auto"/>
        <w:jc w:val="left"/>
      </w:pPr>
    </w:p>
    <w:p w14:paraId="56D4D550" w14:textId="33DB598D" w:rsidR="00D87141" w:rsidRDefault="00D87141" w:rsidP="00F301F7">
      <w:pPr>
        <w:pStyle w:val="TitleText"/>
        <w:spacing w:before="0" w:line="360" w:lineRule="auto"/>
        <w:jc w:val="left"/>
        <w:rPr>
          <w:color w:val="009CBD"/>
        </w:rPr>
      </w:pPr>
      <w:r w:rsidRPr="007625A0">
        <w:rPr>
          <w:color w:val="009CBD"/>
        </w:rPr>
        <w:t xml:space="preserve">Consultation on </w:t>
      </w:r>
      <w:r w:rsidR="00EA70EA">
        <w:rPr>
          <w:color w:val="009CBD"/>
        </w:rPr>
        <w:t xml:space="preserve">applications for </w:t>
      </w:r>
      <w:r w:rsidR="00AC2B11">
        <w:rPr>
          <w:color w:val="009CBD"/>
        </w:rPr>
        <w:t xml:space="preserve">the authorisation of </w:t>
      </w:r>
      <w:r w:rsidR="00EA70EA">
        <w:rPr>
          <w:color w:val="009CBD"/>
        </w:rPr>
        <w:t xml:space="preserve">thirteen </w:t>
      </w:r>
      <w:r w:rsidR="000A5292">
        <w:rPr>
          <w:color w:val="009CBD"/>
        </w:rPr>
        <w:t>feed additive</w:t>
      </w:r>
      <w:r w:rsidR="00AC2B11">
        <w:rPr>
          <w:color w:val="009CBD"/>
        </w:rPr>
        <w:t xml:space="preserve">s </w:t>
      </w:r>
      <w:r w:rsidR="005A49EB">
        <w:rPr>
          <w:color w:val="009CBD"/>
        </w:rPr>
        <w:t>for</w:t>
      </w:r>
      <w:r w:rsidR="000A5292">
        <w:rPr>
          <w:color w:val="009CBD"/>
        </w:rPr>
        <w:t xml:space="preserve"> use in animal feed</w:t>
      </w:r>
    </w:p>
    <w:p w14:paraId="3E08526D" w14:textId="77777777" w:rsidR="00D87141" w:rsidRDefault="00D87141" w:rsidP="00F301F7">
      <w:pPr>
        <w:pStyle w:val="SubtitleText"/>
        <w:spacing w:before="0" w:line="360" w:lineRule="auto"/>
        <w:rPr>
          <w:color w:val="009CBD"/>
        </w:rPr>
      </w:pPr>
    </w:p>
    <w:p w14:paraId="604EFCCF" w14:textId="77777777" w:rsidR="00D87141" w:rsidRPr="007625A0" w:rsidRDefault="00D87141" w:rsidP="00F301F7">
      <w:pPr>
        <w:pStyle w:val="SubtitleText"/>
        <w:spacing w:before="0" w:line="360" w:lineRule="auto"/>
        <w:jc w:val="left"/>
        <w:rPr>
          <w:color w:val="009CBD"/>
        </w:rPr>
      </w:pPr>
      <w:r w:rsidRPr="007625A0">
        <w:rPr>
          <w:color w:val="009CBD"/>
        </w:rPr>
        <w:t xml:space="preserve">Summary of stakeholder </w:t>
      </w:r>
      <w:r w:rsidRPr="00B90100">
        <w:rPr>
          <w:color w:val="009CBD"/>
        </w:rPr>
        <w:t>responses</w:t>
      </w:r>
    </w:p>
    <w:bookmarkEnd w:id="0"/>
    <w:p w14:paraId="5145698A" w14:textId="0B58C260" w:rsidR="00D87141" w:rsidRPr="007625A0" w:rsidRDefault="00D52B2C" w:rsidP="00F301F7">
      <w:pPr>
        <w:pStyle w:val="Dates"/>
        <w:spacing w:after="240" w:line="360" w:lineRule="auto"/>
      </w:pPr>
      <w:r>
        <w:t>2</w:t>
      </w:r>
      <w:r w:rsidR="00673B35">
        <w:t>1</w:t>
      </w:r>
      <w:r w:rsidR="00673B35" w:rsidRPr="00673B35">
        <w:rPr>
          <w:vertAlign w:val="superscript"/>
        </w:rPr>
        <w:t>st</w:t>
      </w:r>
      <w:r w:rsidR="00673B35">
        <w:t xml:space="preserve"> </w:t>
      </w:r>
      <w:r w:rsidR="00D53107">
        <w:t>August</w:t>
      </w:r>
      <w:r w:rsidR="00D87141">
        <w:t xml:space="preserve"> 2023</w:t>
      </w:r>
    </w:p>
    <w:p w14:paraId="6EEEB2E3" w14:textId="77777777" w:rsidR="00D87141" w:rsidRPr="007625A0" w:rsidRDefault="00D87141" w:rsidP="00EA70EA">
      <w:pPr>
        <w:pStyle w:val="Heading1"/>
        <w:numPr>
          <w:ilvl w:val="0"/>
          <w:numId w:val="0"/>
        </w:numPr>
        <w:spacing w:line="360" w:lineRule="auto"/>
        <w:ind w:left="360"/>
        <w:rPr>
          <w:color w:val="009CBD"/>
        </w:rPr>
      </w:pPr>
      <w:r w:rsidRPr="007625A0">
        <w:rPr>
          <w:color w:val="009CBD"/>
        </w:rPr>
        <w:t>Introduction</w:t>
      </w:r>
    </w:p>
    <w:p w14:paraId="5651B3E9" w14:textId="052DA7BE" w:rsidR="00D87141" w:rsidRDefault="00D87141" w:rsidP="00F301F7">
      <w:pPr>
        <w:shd w:val="clear" w:color="auto" w:fill="FFFFFF" w:themeFill="background1"/>
        <w:spacing w:line="360" w:lineRule="auto"/>
        <w:jc w:val="both"/>
      </w:pPr>
      <w:r w:rsidRPr="007625A0">
        <w:t>Th</w:t>
      </w:r>
      <w:r>
        <w:t xml:space="preserve">e </w:t>
      </w:r>
      <w:r w:rsidRPr="007625A0">
        <w:t xml:space="preserve">consultation </w:t>
      </w:r>
      <w:r w:rsidRPr="003A37EE">
        <w:t xml:space="preserve">on </w:t>
      </w:r>
      <w:r w:rsidR="004A5B97">
        <w:t>thirteen</w:t>
      </w:r>
      <w:r>
        <w:t xml:space="preserve"> </w:t>
      </w:r>
      <w:r w:rsidR="000A5292">
        <w:t>feed additives</w:t>
      </w:r>
      <w:r w:rsidRPr="003A37EE">
        <w:t xml:space="preserve"> was </w:t>
      </w:r>
      <w:r w:rsidRPr="007625A0">
        <w:t xml:space="preserve">launched </w:t>
      </w:r>
      <w:r w:rsidR="00E33E1B">
        <w:t xml:space="preserve">on behalf of </w:t>
      </w:r>
      <w:r w:rsidR="005A49EB">
        <w:t>t</w:t>
      </w:r>
      <w:r w:rsidR="00AE5619">
        <w:t xml:space="preserve">he Minister for Public Health and Women’s Health </w:t>
      </w:r>
      <w:r w:rsidRPr="007625A0">
        <w:t xml:space="preserve">on </w:t>
      </w:r>
      <w:r>
        <w:t>25</w:t>
      </w:r>
      <w:r w:rsidR="00F50C6D" w:rsidRPr="005575C8">
        <w:rPr>
          <w:vertAlign w:val="superscript"/>
        </w:rPr>
        <w:t>th</w:t>
      </w:r>
      <w:r w:rsidR="00F50C6D">
        <w:t xml:space="preserve"> </w:t>
      </w:r>
      <w:r>
        <w:t>May 2023</w:t>
      </w:r>
      <w:r w:rsidRPr="007625A0">
        <w:t xml:space="preserve"> and closed on </w:t>
      </w:r>
      <w:r>
        <w:t>20</w:t>
      </w:r>
      <w:r w:rsidR="00F50C6D" w:rsidRPr="005575C8">
        <w:rPr>
          <w:vertAlign w:val="superscript"/>
        </w:rPr>
        <w:t>th</w:t>
      </w:r>
      <w:r w:rsidR="00F50C6D">
        <w:t xml:space="preserve"> </w:t>
      </w:r>
      <w:r>
        <w:t>July 2023</w:t>
      </w:r>
      <w:r w:rsidRPr="007625A0">
        <w:t>.</w:t>
      </w:r>
      <w:r>
        <w:t xml:space="preserve"> The Food Standards Agency (FSA) launched a consultation in parallel. </w:t>
      </w:r>
    </w:p>
    <w:p w14:paraId="176FDED1" w14:textId="67ABEC14" w:rsidR="00D87141" w:rsidRDefault="00D87141" w:rsidP="00F301F7">
      <w:pPr>
        <w:shd w:val="clear" w:color="auto" w:fill="FFFFFF" w:themeFill="background1"/>
        <w:spacing w:line="360" w:lineRule="auto"/>
        <w:jc w:val="both"/>
      </w:pPr>
      <w:r w:rsidRPr="007625A0">
        <w:lastRenderedPageBreak/>
        <w:t xml:space="preserve">This report is a summary of the </w:t>
      </w:r>
      <w:r>
        <w:t xml:space="preserve">Food Standards Scotland (FSS) </w:t>
      </w:r>
      <w:r w:rsidRPr="007625A0">
        <w:t xml:space="preserve">consultation survey results and </w:t>
      </w:r>
      <w:r>
        <w:t>FSS</w:t>
      </w:r>
      <w:r w:rsidR="00B773FF">
        <w:t>’</w:t>
      </w:r>
      <w:r>
        <w:t xml:space="preserve"> responses to these.</w:t>
      </w:r>
    </w:p>
    <w:p w14:paraId="04FAFA28" w14:textId="4388C67E" w:rsidR="00016408" w:rsidRPr="00016408" w:rsidRDefault="00D87141" w:rsidP="00016408">
      <w:pPr>
        <w:spacing w:line="360" w:lineRule="auto"/>
        <w:rPr>
          <w:rFonts w:eastAsia="Arial" w:cs="Arial"/>
          <w:color w:val="000000" w:themeColor="text1"/>
        </w:rPr>
      </w:pPr>
      <w:r w:rsidRPr="42B03EDF">
        <w:rPr>
          <w:rFonts w:eastAsia="Arial" w:cs="Arial"/>
          <w:color w:val="000000" w:themeColor="text1"/>
        </w:rPr>
        <w:t xml:space="preserve">Stakeholders’ views were sought in relation to the authorisation of </w:t>
      </w:r>
      <w:r w:rsidR="004A5B97">
        <w:rPr>
          <w:rFonts w:eastAsia="Arial" w:cs="Arial"/>
          <w:color w:val="000000" w:themeColor="text1"/>
        </w:rPr>
        <w:t>thirteen</w:t>
      </w:r>
      <w:r>
        <w:rPr>
          <w:rFonts w:eastAsia="Arial" w:cs="Arial"/>
          <w:color w:val="000000" w:themeColor="text1"/>
        </w:rPr>
        <w:t xml:space="preserve"> f</w:t>
      </w:r>
      <w:r w:rsidR="00C70992">
        <w:rPr>
          <w:rFonts w:eastAsia="Arial" w:cs="Arial"/>
          <w:color w:val="000000" w:themeColor="text1"/>
        </w:rPr>
        <w:t>ee</w:t>
      </w:r>
      <w:r>
        <w:rPr>
          <w:rFonts w:eastAsia="Arial" w:cs="Arial"/>
          <w:color w:val="000000" w:themeColor="text1"/>
        </w:rPr>
        <w:t>d additives</w:t>
      </w:r>
      <w:r w:rsidRPr="42B03EDF">
        <w:rPr>
          <w:rFonts w:eastAsia="Arial" w:cs="Arial"/>
          <w:color w:val="000000" w:themeColor="text1"/>
        </w:rPr>
        <w:t>, which were submitted for authorisation to be placed on the market</w:t>
      </w:r>
      <w:r w:rsidR="005A49EB">
        <w:rPr>
          <w:rFonts w:eastAsia="Arial" w:cs="Arial"/>
          <w:color w:val="000000" w:themeColor="text1"/>
        </w:rPr>
        <w:t xml:space="preserve"> in Great Britain (GB)</w:t>
      </w:r>
      <w:r w:rsidRPr="42B03EDF">
        <w:rPr>
          <w:rFonts w:eastAsia="Arial" w:cs="Arial"/>
          <w:color w:val="000000" w:themeColor="text1"/>
        </w:rPr>
        <w:t xml:space="preserve">, in accordance with </w:t>
      </w:r>
      <w:r>
        <w:rPr>
          <w:rFonts w:eastAsia="Arial" w:cs="Arial"/>
          <w:color w:val="000000" w:themeColor="text1"/>
        </w:rPr>
        <w:t>r</w:t>
      </w:r>
      <w:r w:rsidRPr="42B03EDF">
        <w:rPr>
          <w:rFonts w:eastAsia="Arial" w:cs="Arial"/>
          <w:color w:val="000000" w:themeColor="text1"/>
        </w:rPr>
        <w:t xml:space="preserve">etained Regulation </w:t>
      </w:r>
      <w:r w:rsidR="005A49EB">
        <w:rPr>
          <w:rFonts w:eastAsia="Arial" w:cs="Arial"/>
          <w:color w:val="000000" w:themeColor="text1"/>
        </w:rPr>
        <w:t xml:space="preserve">(EU) </w:t>
      </w:r>
      <w:r w:rsidRPr="42B03EDF">
        <w:rPr>
          <w:rFonts w:eastAsia="Arial" w:cs="Arial"/>
          <w:color w:val="000000" w:themeColor="text1"/>
        </w:rPr>
        <w:t>1</w:t>
      </w:r>
      <w:r w:rsidR="004A5B97">
        <w:rPr>
          <w:rFonts w:eastAsia="Arial" w:cs="Arial"/>
          <w:color w:val="000000" w:themeColor="text1"/>
        </w:rPr>
        <w:t>8</w:t>
      </w:r>
      <w:r w:rsidRPr="42B03EDF">
        <w:rPr>
          <w:rFonts w:eastAsia="Arial" w:cs="Arial"/>
          <w:color w:val="000000" w:themeColor="text1"/>
        </w:rPr>
        <w:t>31/20</w:t>
      </w:r>
      <w:r>
        <w:rPr>
          <w:rFonts w:eastAsia="Arial" w:cs="Arial"/>
          <w:color w:val="000000" w:themeColor="text1"/>
        </w:rPr>
        <w:t>0</w:t>
      </w:r>
      <w:r w:rsidR="004A5B97">
        <w:rPr>
          <w:rFonts w:eastAsia="Arial" w:cs="Arial"/>
          <w:color w:val="000000" w:themeColor="text1"/>
        </w:rPr>
        <w:t>3</w:t>
      </w:r>
      <w:r w:rsidR="00016408">
        <w:rPr>
          <w:rFonts w:eastAsia="Arial" w:cs="Arial"/>
          <w:color w:val="000000" w:themeColor="text1"/>
        </w:rPr>
        <w:t xml:space="preserve"> </w:t>
      </w:r>
      <w:r w:rsidR="00016408">
        <w:rPr>
          <w:rFonts w:eastAsiaTheme="minorEastAsia" w:cs="Arial"/>
        </w:rPr>
        <w:t>(</w:t>
      </w:r>
      <w:proofErr w:type="spellStart"/>
      <w:r w:rsidR="00000000">
        <w:fldChar w:fldCharType="begin"/>
      </w:r>
      <w:r w:rsidR="00000000">
        <w:instrText>HYPERLINK "https://www.legislation.gov.uk/eur/2003/1831"</w:instrText>
      </w:r>
      <w:r w:rsidR="00000000">
        <w:fldChar w:fldCharType="separate"/>
      </w:r>
      <w:r w:rsidR="00016408">
        <w:rPr>
          <w:rStyle w:val="Hyperlink"/>
          <w:rFonts w:eastAsiaTheme="minorEastAsia" w:cs="Arial"/>
          <w:color w:val="0070C0"/>
        </w:rPr>
        <w:t>REUL</w:t>
      </w:r>
      <w:proofErr w:type="spellEnd"/>
      <w:r w:rsidR="00016408">
        <w:rPr>
          <w:rStyle w:val="Hyperlink"/>
          <w:rFonts w:eastAsiaTheme="minorEastAsia" w:cs="Arial"/>
          <w:color w:val="0070C0"/>
        </w:rPr>
        <w:t xml:space="preserve"> </w:t>
      </w:r>
      <w:r w:rsidR="00016408">
        <w:rPr>
          <w:rStyle w:val="Hyperlink"/>
          <w:rFonts w:eastAsiaTheme="minorEastAsia" w:cs="Arial"/>
          <w:color w:val="0070C0"/>
        </w:rPr>
        <w:t>1</w:t>
      </w:r>
      <w:r w:rsidR="00016408">
        <w:rPr>
          <w:rStyle w:val="Hyperlink"/>
          <w:rFonts w:eastAsiaTheme="minorEastAsia" w:cs="Arial"/>
          <w:color w:val="0070C0"/>
        </w:rPr>
        <w:t>831/2003</w:t>
      </w:r>
      <w:r w:rsidR="00000000">
        <w:rPr>
          <w:rStyle w:val="Hyperlink"/>
          <w:rFonts w:eastAsiaTheme="minorEastAsia" w:cs="Arial"/>
          <w:color w:val="0070C0"/>
        </w:rPr>
        <w:fldChar w:fldCharType="end"/>
      </w:r>
      <w:r w:rsidR="00016408">
        <w:rPr>
          <w:rFonts w:eastAsiaTheme="minorEastAsia" w:cs="Arial"/>
        </w:rPr>
        <w:t xml:space="preserve">) </w:t>
      </w:r>
      <w:r w:rsidR="00016408" w:rsidRPr="00016408">
        <w:rPr>
          <w:rFonts w:eastAsia="Arial" w:cs="Arial"/>
          <w:color w:val="000000" w:themeColor="text1"/>
        </w:rPr>
        <w:t xml:space="preserve">as laid out in the following articles: </w:t>
      </w:r>
    </w:p>
    <w:p w14:paraId="2B5B8F19" w14:textId="71339887" w:rsidR="00016408" w:rsidRPr="00016408" w:rsidRDefault="00016408" w:rsidP="00016408">
      <w:pPr>
        <w:spacing w:line="360" w:lineRule="auto"/>
        <w:rPr>
          <w:rFonts w:eastAsia="Arial" w:cs="Arial"/>
          <w:color w:val="000000" w:themeColor="text1"/>
        </w:rPr>
      </w:pPr>
      <w:r w:rsidRPr="00016408">
        <w:rPr>
          <w:rFonts w:eastAsia="Arial" w:cs="Arial"/>
          <w:color w:val="000000" w:themeColor="text1"/>
        </w:rPr>
        <w:t>•</w:t>
      </w:r>
      <w:r w:rsidRPr="00016408">
        <w:rPr>
          <w:rFonts w:eastAsia="Arial" w:cs="Arial"/>
          <w:color w:val="000000" w:themeColor="text1"/>
        </w:rPr>
        <w:tab/>
        <w:t>Article 4</w:t>
      </w:r>
      <w:r w:rsidR="00F50C6D">
        <w:rPr>
          <w:rFonts w:eastAsia="Arial" w:cs="Arial"/>
          <w:color w:val="000000" w:themeColor="text1"/>
        </w:rPr>
        <w:t>,</w:t>
      </w:r>
      <w:r w:rsidRPr="00016408">
        <w:rPr>
          <w:rFonts w:eastAsia="Arial" w:cs="Arial"/>
          <w:color w:val="000000" w:themeColor="text1"/>
        </w:rPr>
        <w:t xml:space="preserve"> application for a new authorisation or new use of a feed additive</w:t>
      </w:r>
      <w:r w:rsidR="00F50C6D">
        <w:rPr>
          <w:rFonts w:eastAsia="Arial" w:cs="Arial"/>
          <w:color w:val="000000" w:themeColor="text1"/>
        </w:rPr>
        <w:t>;</w:t>
      </w:r>
    </w:p>
    <w:p w14:paraId="728D7F41" w14:textId="636F5B31" w:rsidR="00016408" w:rsidRPr="00016408" w:rsidRDefault="00016408" w:rsidP="00016408">
      <w:pPr>
        <w:spacing w:line="360" w:lineRule="auto"/>
        <w:rPr>
          <w:rFonts w:eastAsia="Arial" w:cs="Arial"/>
          <w:color w:val="000000" w:themeColor="text1"/>
        </w:rPr>
      </w:pPr>
      <w:r w:rsidRPr="00016408">
        <w:rPr>
          <w:rFonts w:eastAsia="Arial" w:cs="Arial"/>
          <w:color w:val="000000" w:themeColor="text1"/>
        </w:rPr>
        <w:t>•</w:t>
      </w:r>
      <w:r w:rsidRPr="00016408">
        <w:rPr>
          <w:rFonts w:eastAsia="Arial" w:cs="Arial"/>
          <w:color w:val="000000" w:themeColor="text1"/>
        </w:rPr>
        <w:tab/>
        <w:t>Article 13</w:t>
      </w:r>
      <w:r w:rsidR="00F50C6D">
        <w:rPr>
          <w:rFonts w:eastAsia="Arial" w:cs="Arial"/>
          <w:color w:val="000000" w:themeColor="text1"/>
        </w:rPr>
        <w:t>,</w:t>
      </w:r>
      <w:r w:rsidRPr="00016408">
        <w:rPr>
          <w:rFonts w:eastAsia="Arial" w:cs="Arial"/>
          <w:color w:val="000000" w:themeColor="text1"/>
        </w:rPr>
        <w:t xml:space="preserve"> application for modification of authorisation</w:t>
      </w:r>
      <w:r w:rsidR="00F50C6D">
        <w:rPr>
          <w:rFonts w:eastAsia="Arial" w:cs="Arial"/>
          <w:color w:val="000000" w:themeColor="text1"/>
        </w:rPr>
        <w:t>;</w:t>
      </w:r>
    </w:p>
    <w:p w14:paraId="7BDCBDB8" w14:textId="342C8C8D" w:rsidR="00016408" w:rsidRPr="00016408" w:rsidRDefault="00016408" w:rsidP="00016408">
      <w:pPr>
        <w:spacing w:line="360" w:lineRule="auto"/>
        <w:rPr>
          <w:rFonts w:eastAsia="Arial" w:cs="Arial"/>
          <w:color w:val="000000" w:themeColor="text1"/>
        </w:rPr>
      </w:pPr>
      <w:r w:rsidRPr="00016408">
        <w:rPr>
          <w:rFonts w:eastAsia="Arial" w:cs="Arial"/>
          <w:color w:val="000000" w:themeColor="text1"/>
        </w:rPr>
        <w:t>•</w:t>
      </w:r>
      <w:r w:rsidRPr="00016408">
        <w:rPr>
          <w:rFonts w:eastAsia="Arial" w:cs="Arial"/>
          <w:color w:val="000000" w:themeColor="text1"/>
        </w:rPr>
        <w:tab/>
        <w:t>Article 14</w:t>
      </w:r>
      <w:r w:rsidR="00F50C6D">
        <w:rPr>
          <w:rFonts w:eastAsia="Arial" w:cs="Arial"/>
          <w:color w:val="000000" w:themeColor="text1"/>
        </w:rPr>
        <w:t>,</w:t>
      </w:r>
      <w:r w:rsidRPr="00016408">
        <w:rPr>
          <w:rFonts w:eastAsia="Arial" w:cs="Arial"/>
          <w:color w:val="000000" w:themeColor="text1"/>
        </w:rPr>
        <w:t xml:space="preserve"> application for a renewal of authorisation</w:t>
      </w:r>
      <w:r w:rsidR="00F50C6D">
        <w:rPr>
          <w:rFonts w:eastAsia="Arial" w:cs="Arial"/>
          <w:color w:val="000000" w:themeColor="text1"/>
        </w:rPr>
        <w:t>.</w:t>
      </w:r>
    </w:p>
    <w:p w14:paraId="39C3C45A" w14:textId="14C3D50D" w:rsidR="00D87141" w:rsidRDefault="00016408" w:rsidP="00016408">
      <w:pPr>
        <w:spacing w:line="360" w:lineRule="auto"/>
        <w:rPr>
          <w:rFonts w:eastAsia="Arial" w:cs="Arial"/>
          <w:color w:val="000000" w:themeColor="text1"/>
        </w:rPr>
      </w:pPr>
      <w:r w:rsidRPr="00016408">
        <w:rPr>
          <w:rFonts w:eastAsia="Arial" w:cs="Arial"/>
          <w:color w:val="000000" w:themeColor="text1"/>
        </w:rPr>
        <w:t>The consultation also introduced proposals for transitional arrangements</w:t>
      </w:r>
      <w:r w:rsidR="00DC57E6">
        <w:rPr>
          <w:rFonts w:eastAsia="Arial" w:cs="Arial"/>
          <w:color w:val="000000" w:themeColor="text1"/>
        </w:rPr>
        <w:t xml:space="preserve"> for </w:t>
      </w:r>
      <w:proofErr w:type="spellStart"/>
      <w:r w:rsidR="00DC57E6" w:rsidRPr="00DC57E6">
        <w:rPr>
          <w:rFonts w:eastAsia="Arial" w:cs="Arial"/>
          <w:color w:val="000000" w:themeColor="text1"/>
        </w:rPr>
        <w:t>RP955</w:t>
      </w:r>
      <w:proofErr w:type="spellEnd"/>
      <w:r w:rsidR="00DC57E6" w:rsidRPr="00DC57E6">
        <w:rPr>
          <w:rFonts w:eastAsia="Arial" w:cs="Arial"/>
          <w:color w:val="000000" w:themeColor="text1"/>
        </w:rPr>
        <w:t xml:space="preserve"> - 6-phytase (EC 3.1.3.26) produced by </w:t>
      </w:r>
      <w:r w:rsidR="00DC57E6" w:rsidRPr="005D3EE2">
        <w:rPr>
          <w:rFonts w:eastAsia="Arial" w:cs="Arial"/>
          <w:i/>
          <w:iCs/>
          <w:color w:val="000000" w:themeColor="text1"/>
        </w:rPr>
        <w:t xml:space="preserve">Trichoderma </w:t>
      </w:r>
      <w:proofErr w:type="spellStart"/>
      <w:r w:rsidR="00DC57E6" w:rsidRPr="005D3EE2">
        <w:rPr>
          <w:rFonts w:eastAsia="Arial" w:cs="Arial"/>
          <w:i/>
          <w:iCs/>
          <w:color w:val="000000" w:themeColor="text1"/>
        </w:rPr>
        <w:t>reesei</w:t>
      </w:r>
      <w:proofErr w:type="spellEnd"/>
      <w:r w:rsidR="00DC57E6" w:rsidRPr="00DC57E6">
        <w:rPr>
          <w:rFonts w:eastAsia="Arial" w:cs="Arial"/>
          <w:color w:val="000000" w:themeColor="text1"/>
        </w:rPr>
        <w:t xml:space="preserve"> (CBS 122001)</w:t>
      </w:r>
      <w:r w:rsidRPr="00016408">
        <w:rPr>
          <w:rFonts w:eastAsia="Arial" w:cs="Arial"/>
          <w:color w:val="000000" w:themeColor="text1"/>
        </w:rPr>
        <w:t xml:space="preserve"> to allow for existing stocks </w:t>
      </w:r>
      <w:r w:rsidR="00DC57E6">
        <w:rPr>
          <w:rFonts w:eastAsia="Arial" w:cs="Arial"/>
          <w:color w:val="000000" w:themeColor="text1"/>
        </w:rPr>
        <w:t xml:space="preserve">of the additive </w:t>
      </w:r>
      <w:r w:rsidRPr="00016408">
        <w:rPr>
          <w:rFonts w:eastAsia="Arial" w:cs="Arial"/>
          <w:color w:val="000000" w:themeColor="text1"/>
        </w:rPr>
        <w:t>to be exhausted.</w:t>
      </w:r>
    </w:p>
    <w:p w14:paraId="0588143C" w14:textId="77777777" w:rsidR="004A5B97" w:rsidRDefault="004A5B97" w:rsidP="00F301F7">
      <w:pPr>
        <w:spacing w:line="360" w:lineRule="auto"/>
      </w:pPr>
      <w:r w:rsidRPr="10120346">
        <w:rPr>
          <w:rFonts w:eastAsia="Arial" w:cs="Arial"/>
        </w:rPr>
        <w:t>The applications on which the consultation sought views were:</w:t>
      </w:r>
    </w:p>
    <w:p w14:paraId="507CF665" w14:textId="587C33CE" w:rsidR="004A5B97" w:rsidRDefault="004A5B97" w:rsidP="00F301F7">
      <w:pPr>
        <w:pStyle w:val="ListParagraph"/>
        <w:numPr>
          <w:ilvl w:val="0"/>
          <w:numId w:val="5"/>
        </w:numPr>
        <w:spacing w:after="240" w:line="360" w:lineRule="auto"/>
        <w:rPr>
          <w:rFonts w:eastAsia="Arial" w:cs="Arial"/>
        </w:rPr>
      </w:pPr>
      <w:r w:rsidRPr="42B03EDF">
        <w:rPr>
          <w:rFonts w:eastAsia="Arial" w:cs="Arial"/>
        </w:rPr>
        <w:t xml:space="preserve">Authorisation of </w:t>
      </w:r>
      <w:r>
        <w:rPr>
          <w:rFonts w:eastAsia="Arial" w:cs="Arial"/>
        </w:rPr>
        <w:t xml:space="preserve">ten new feed </w:t>
      </w:r>
      <w:r w:rsidR="00462B99">
        <w:rPr>
          <w:rFonts w:eastAsia="Arial" w:cs="Arial"/>
        </w:rPr>
        <w:t>additives:</w:t>
      </w:r>
      <w:r w:rsidRPr="42B03EDF">
        <w:rPr>
          <w:rFonts w:eastAsia="Arial" w:cs="Arial"/>
        </w:rPr>
        <w:t xml:space="preserve">  </w:t>
      </w:r>
    </w:p>
    <w:p w14:paraId="57CCEC7D" w14:textId="3C8CBAD2" w:rsidR="00054EB2" w:rsidRDefault="00EE2698" w:rsidP="00F301F7">
      <w:pPr>
        <w:pStyle w:val="ListParagraph"/>
        <w:numPr>
          <w:ilvl w:val="1"/>
          <w:numId w:val="5"/>
        </w:numPr>
        <w:spacing w:after="240" w:line="360" w:lineRule="auto"/>
        <w:rPr>
          <w:rFonts w:eastAsia="Arial" w:cs="Arial"/>
        </w:rPr>
      </w:pPr>
      <w:proofErr w:type="spellStart"/>
      <w:r w:rsidRPr="00EE2698">
        <w:rPr>
          <w:rFonts w:eastAsia="Arial" w:cs="Arial"/>
        </w:rPr>
        <w:t>RP263</w:t>
      </w:r>
      <w:proofErr w:type="spellEnd"/>
      <w:r w:rsidRPr="00EE2698">
        <w:rPr>
          <w:rFonts w:eastAsia="Arial" w:cs="Arial"/>
        </w:rPr>
        <w:t xml:space="preserve"> – </w:t>
      </w:r>
      <w:proofErr w:type="spellStart"/>
      <w:r w:rsidRPr="005D3EE2">
        <w:rPr>
          <w:rFonts w:eastAsia="Arial" w:cs="Arial"/>
          <w:i/>
          <w:iCs/>
        </w:rPr>
        <w:t>Lacticaseibacillus</w:t>
      </w:r>
      <w:proofErr w:type="spellEnd"/>
      <w:r w:rsidRPr="005D3EE2">
        <w:rPr>
          <w:rFonts w:eastAsia="Arial" w:cs="Arial"/>
          <w:i/>
          <w:iCs/>
        </w:rPr>
        <w:t xml:space="preserve"> </w:t>
      </w:r>
      <w:proofErr w:type="spellStart"/>
      <w:r w:rsidRPr="005D3EE2">
        <w:rPr>
          <w:rFonts w:eastAsia="Arial" w:cs="Arial"/>
          <w:i/>
          <w:iCs/>
        </w:rPr>
        <w:t>rhamnosus</w:t>
      </w:r>
      <w:proofErr w:type="spellEnd"/>
      <w:r w:rsidRPr="00EE2698">
        <w:rPr>
          <w:rFonts w:eastAsia="Arial" w:cs="Arial"/>
        </w:rPr>
        <w:t xml:space="preserve"> (formerly </w:t>
      </w:r>
      <w:r w:rsidRPr="005D3EE2">
        <w:rPr>
          <w:rFonts w:eastAsia="Arial" w:cs="Arial"/>
          <w:i/>
          <w:iCs/>
        </w:rPr>
        <w:t xml:space="preserve">Lactobacillus </w:t>
      </w:r>
      <w:proofErr w:type="spellStart"/>
      <w:r w:rsidRPr="005D3EE2">
        <w:rPr>
          <w:rFonts w:eastAsia="Arial" w:cs="Arial"/>
          <w:i/>
          <w:iCs/>
        </w:rPr>
        <w:t>rhamnosus</w:t>
      </w:r>
      <w:proofErr w:type="spellEnd"/>
      <w:r w:rsidRPr="00EE2698">
        <w:rPr>
          <w:rFonts w:eastAsia="Arial" w:cs="Arial"/>
        </w:rPr>
        <w:t>) (IMI 507023)</w:t>
      </w:r>
    </w:p>
    <w:p w14:paraId="7DE7E194" w14:textId="6A067BA1" w:rsidR="00EE2698" w:rsidRDefault="00EE2698" w:rsidP="00F301F7">
      <w:pPr>
        <w:pStyle w:val="ListParagraph"/>
        <w:numPr>
          <w:ilvl w:val="1"/>
          <w:numId w:val="5"/>
        </w:numPr>
        <w:spacing w:after="240" w:line="360" w:lineRule="auto"/>
        <w:rPr>
          <w:rFonts w:eastAsia="Arial" w:cs="Arial"/>
        </w:rPr>
      </w:pPr>
      <w:proofErr w:type="spellStart"/>
      <w:r w:rsidRPr="00EE2698">
        <w:rPr>
          <w:rFonts w:eastAsia="Arial" w:cs="Arial"/>
        </w:rPr>
        <w:t>RP267</w:t>
      </w:r>
      <w:proofErr w:type="spellEnd"/>
      <w:r w:rsidRPr="00EE2698">
        <w:rPr>
          <w:rFonts w:eastAsia="Arial" w:cs="Arial"/>
        </w:rPr>
        <w:t xml:space="preserve"> - </w:t>
      </w:r>
      <w:proofErr w:type="spellStart"/>
      <w:r w:rsidRPr="005D3EE2">
        <w:rPr>
          <w:rFonts w:eastAsia="Arial" w:cs="Arial"/>
          <w:i/>
          <w:iCs/>
        </w:rPr>
        <w:t>Pediococcus</w:t>
      </w:r>
      <w:proofErr w:type="spellEnd"/>
      <w:r w:rsidRPr="005D3EE2">
        <w:rPr>
          <w:rFonts w:eastAsia="Arial" w:cs="Arial"/>
          <w:i/>
          <w:iCs/>
        </w:rPr>
        <w:t xml:space="preserve"> </w:t>
      </w:r>
      <w:proofErr w:type="spellStart"/>
      <w:r w:rsidRPr="005D3EE2">
        <w:rPr>
          <w:rFonts w:eastAsia="Arial" w:cs="Arial"/>
          <w:i/>
          <w:iCs/>
        </w:rPr>
        <w:t>pentosaceus</w:t>
      </w:r>
      <w:proofErr w:type="spellEnd"/>
      <w:r w:rsidRPr="00EE2698">
        <w:rPr>
          <w:rFonts w:eastAsia="Arial" w:cs="Arial"/>
        </w:rPr>
        <w:t xml:space="preserve"> (IMI 507024)</w:t>
      </w:r>
    </w:p>
    <w:p w14:paraId="15C1C3B4" w14:textId="749D6CC1" w:rsidR="00EE2698" w:rsidRDefault="00EE2698" w:rsidP="00F301F7">
      <w:pPr>
        <w:pStyle w:val="ListParagraph"/>
        <w:numPr>
          <w:ilvl w:val="1"/>
          <w:numId w:val="5"/>
        </w:numPr>
        <w:spacing w:after="240" w:line="360" w:lineRule="auto"/>
        <w:rPr>
          <w:rFonts w:eastAsia="Arial" w:cs="Arial"/>
        </w:rPr>
      </w:pPr>
      <w:proofErr w:type="spellStart"/>
      <w:r w:rsidRPr="00EE2698">
        <w:rPr>
          <w:rFonts w:eastAsia="Arial" w:cs="Arial"/>
        </w:rPr>
        <w:t>RP270</w:t>
      </w:r>
      <w:proofErr w:type="spellEnd"/>
      <w:r w:rsidRPr="00EE2698">
        <w:rPr>
          <w:rFonts w:eastAsia="Arial" w:cs="Arial"/>
        </w:rPr>
        <w:t xml:space="preserve"> - </w:t>
      </w:r>
      <w:proofErr w:type="spellStart"/>
      <w:r w:rsidRPr="005D3EE2">
        <w:rPr>
          <w:rFonts w:eastAsia="Arial" w:cs="Arial"/>
          <w:i/>
          <w:iCs/>
        </w:rPr>
        <w:t>Pediococcus</w:t>
      </w:r>
      <w:proofErr w:type="spellEnd"/>
      <w:r w:rsidRPr="005D3EE2">
        <w:rPr>
          <w:rFonts w:eastAsia="Arial" w:cs="Arial"/>
          <w:i/>
          <w:iCs/>
        </w:rPr>
        <w:t xml:space="preserve"> </w:t>
      </w:r>
      <w:proofErr w:type="spellStart"/>
      <w:r w:rsidRPr="005D3EE2">
        <w:rPr>
          <w:rFonts w:eastAsia="Arial" w:cs="Arial"/>
          <w:i/>
          <w:iCs/>
        </w:rPr>
        <w:t>pentosaceus</w:t>
      </w:r>
      <w:proofErr w:type="spellEnd"/>
      <w:r w:rsidRPr="00EE2698">
        <w:rPr>
          <w:rFonts w:eastAsia="Arial" w:cs="Arial"/>
        </w:rPr>
        <w:t xml:space="preserve"> (IMI 507025)</w:t>
      </w:r>
    </w:p>
    <w:p w14:paraId="5662271E" w14:textId="7EA28C94" w:rsidR="00EE2698" w:rsidRDefault="00EE2698" w:rsidP="00F301F7">
      <w:pPr>
        <w:pStyle w:val="ListParagraph"/>
        <w:numPr>
          <w:ilvl w:val="1"/>
          <w:numId w:val="5"/>
        </w:numPr>
        <w:spacing w:after="240" w:line="360" w:lineRule="auto"/>
        <w:rPr>
          <w:rFonts w:eastAsia="Arial" w:cs="Arial"/>
        </w:rPr>
      </w:pPr>
      <w:proofErr w:type="spellStart"/>
      <w:r w:rsidRPr="00EE2698">
        <w:rPr>
          <w:rFonts w:eastAsia="Arial" w:cs="Arial"/>
        </w:rPr>
        <w:t>RP271</w:t>
      </w:r>
      <w:proofErr w:type="spellEnd"/>
      <w:r w:rsidRPr="00EE2698">
        <w:rPr>
          <w:rFonts w:eastAsia="Arial" w:cs="Arial"/>
        </w:rPr>
        <w:t xml:space="preserve"> - </w:t>
      </w:r>
      <w:proofErr w:type="spellStart"/>
      <w:r w:rsidRPr="005D3EE2">
        <w:rPr>
          <w:rFonts w:eastAsia="Arial" w:cs="Arial"/>
          <w:i/>
          <w:iCs/>
        </w:rPr>
        <w:t>Lactiplantibacillus</w:t>
      </w:r>
      <w:proofErr w:type="spellEnd"/>
      <w:r w:rsidRPr="005D3EE2">
        <w:rPr>
          <w:rFonts w:eastAsia="Arial" w:cs="Arial"/>
          <w:i/>
          <w:iCs/>
        </w:rPr>
        <w:t xml:space="preserve"> plantarum</w:t>
      </w:r>
      <w:r w:rsidRPr="00EE2698">
        <w:rPr>
          <w:rFonts w:eastAsia="Arial" w:cs="Arial"/>
        </w:rPr>
        <w:t xml:space="preserve"> (formerly </w:t>
      </w:r>
      <w:r w:rsidRPr="005D3EE2">
        <w:rPr>
          <w:rFonts w:eastAsia="Arial" w:cs="Arial"/>
          <w:i/>
          <w:iCs/>
        </w:rPr>
        <w:t>Lactobacillus plantarum</w:t>
      </w:r>
      <w:r w:rsidRPr="00EE2698">
        <w:rPr>
          <w:rFonts w:eastAsia="Arial" w:cs="Arial"/>
        </w:rPr>
        <w:t>) (IMI 507026)</w:t>
      </w:r>
    </w:p>
    <w:p w14:paraId="3CF80B78" w14:textId="6FF3C14E" w:rsidR="00EE2698" w:rsidRDefault="00EE2698" w:rsidP="00F301F7">
      <w:pPr>
        <w:pStyle w:val="ListParagraph"/>
        <w:numPr>
          <w:ilvl w:val="1"/>
          <w:numId w:val="5"/>
        </w:numPr>
        <w:spacing w:after="240" w:line="360" w:lineRule="auto"/>
        <w:rPr>
          <w:rFonts w:eastAsia="Arial" w:cs="Arial"/>
        </w:rPr>
      </w:pPr>
      <w:proofErr w:type="spellStart"/>
      <w:r w:rsidRPr="00EE2698">
        <w:rPr>
          <w:rFonts w:eastAsia="Arial" w:cs="Arial"/>
        </w:rPr>
        <w:lastRenderedPageBreak/>
        <w:t>RP272</w:t>
      </w:r>
      <w:proofErr w:type="spellEnd"/>
      <w:r w:rsidRPr="00EE2698">
        <w:rPr>
          <w:rFonts w:eastAsia="Arial" w:cs="Arial"/>
        </w:rPr>
        <w:t xml:space="preserve"> - </w:t>
      </w:r>
      <w:proofErr w:type="spellStart"/>
      <w:r w:rsidRPr="005D3EE2">
        <w:rPr>
          <w:rFonts w:eastAsia="Arial" w:cs="Arial"/>
          <w:i/>
          <w:iCs/>
        </w:rPr>
        <w:t>Lactiplantibacillus</w:t>
      </w:r>
      <w:proofErr w:type="spellEnd"/>
      <w:r w:rsidRPr="005D3EE2">
        <w:rPr>
          <w:rFonts w:eastAsia="Arial" w:cs="Arial"/>
          <w:i/>
          <w:iCs/>
        </w:rPr>
        <w:t xml:space="preserve"> plantarum</w:t>
      </w:r>
      <w:r w:rsidRPr="00EE2698">
        <w:rPr>
          <w:rFonts w:eastAsia="Arial" w:cs="Arial"/>
        </w:rPr>
        <w:t xml:space="preserve"> (formerly </w:t>
      </w:r>
      <w:r w:rsidRPr="005D3EE2">
        <w:rPr>
          <w:rFonts w:eastAsia="Arial" w:cs="Arial"/>
          <w:i/>
          <w:iCs/>
        </w:rPr>
        <w:t>Lactobacillus plantarum</w:t>
      </w:r>
      <w:r w:rsidRPr="00EE2698">
        <w:rPr>
          <w:rFonts w:eastAsia="Arial" w:cs="Arial"/>
        </w:rPr>
        <w:t>) (IMI 507027)</w:t>
      </w:r>
    </w:p>
    <w:p w14:paraId="754BB230" w14:textId="5F0792F8" w:rsidR="00EE2698" w:rsidRDefault="00EE2698" w:rsidP="00F301F7">
      <w:pPr>
        <w:pStyle w:val="ListParagraph"/>
        <w:numPr>
          <w:ilvl w:val="1"/>
          <w:numId w:val="5"/>
        </w:numPr>
        <w:spacing w:after="240" w:line="360" w:lineRule="auto"/>
        <w:rPr>
          <w:rFonts w:eastAsia="Arial" w:cs="Arial"/>
        </w:rPr>
      </w:pPr>
      <w:proofErr w:type="spellStart"/>
      <w:r w:rsidRPr="00EE2698">
        <w:rPr>
          <w:rFonts w:eastAsia="Arial" w:cs="Arial"/>
        </w:rPr>
        <w:t>RP273</w:t>
      </w:r>
      <w:proofErr w:type="spellEnd"/>
      <w:r w:rsidRPr="00EE2698">
        <w:rPr>
          <w:rFonts w:eastAsia="Arial" w:cs="Arial"/>
        </w:rPr>
        <w:t xml:space="preserve"> - </w:t>
      </w:r>
      <w:proofErr w:type="spellStart"/>
      <w:r w:rsidRPr="005D3EE2">
        <w:rPr>
          <w:rFonts w:eastAsia="Arial" w:cs="Arial"/>
          <w:i/>
          <w:iCs/>
        </w:rPr>
        <w:t>Lactiplantibacillus</w:t>
      </w:r>
      <w:proofErr w:type="spellEnd"/>
      <w:r w:rsidRPr="005D3EE2">
        <w:rPr>
          <w:rFonts w:eastAsia="Arial" w:cs="Arial"/>
          <w:i/>
          <w:iCs/>
        </w:rPr>
        <w:t xml:space="preserve"> plantarum</w:t>
      </w:r>
      <w:r w:rsidRPr="00EE2698">
        <w:rPr>
          <w:rFonts w:eastAsia="Arial" w:cs="Arial"/>
        </w:rPr>
        <w:t xml:space="preserve"> (formerly </w:t>
      </w:r>
      <w:r w:rsidRPr="005D3EE2">
        <w:rPr>
          <w:rFonts w:eastAsia="Arial" w:cs="Arial"/>
          <w:i/>
          <w:iCs/>
        </w:rPr>
        <w:t>Lactobacillus plantarum</w:t>
      </w:r>
      <w:r w:rsidRPr="00EE2698">
        <w:rPr>
          <w:rFonts w:eastAsia="Arial" w:cs="Arial"/>
        </w:rPr>
        <w:t>) (IMI 507028)</w:t>
      </w:r>
    </w:p>
    <w:p w14:paraId="409E0D7C" w14:textId="62CAB430" w:rsidR="00EE2698" w:rsidRDefault="00EE2698" w:rsidP="00F301F7">
      <w:pPr>
        <w:pStyle w:val="ListParagraph"/>
        <w:numPr>
          <w:ilvl w:val="1"/>
          <w:numId w:val="5"/>
        </w:numPr>
        <w:spacing w:after="240" w:line="360" w:lineRule="auto"/>
        <w:rPr>
          <w:rFonts w:eastAsia="Arial" w:cs="Arial"/>
        </w:rPr>
      </w:pPr>
      <w:proofErr w:type="spellStart"/>
      <w:r w:rsidRPr="00EE2698">
        <w:rPr>
          <w:rFonts w:eastAsia="Arial" w:cs="Arial"/>
        </w:rPr>
        <w:t>RP687</w:t>
      </w:r>
      <w:proofErr w:type="spellEnd"/>
      <w:r w:rsidRPr="00EE2698">
        <w:rPr>
          <w:rFonts w:eastAsia="Arial" w:cs="Arial"/>
        </w:rPr>
        <w:t xml:space="preserve"> - </w:t>
      </w:r>
      <w:proofErr w:type="spellStart"/>
      <w:r w:rsidRPr="005D3EE2">
        <w:rPr>
          <w:rFonts w:eastAsia="Arial" w:cs="Arial"/>
          <w:i/>
          <w:iCs/>
        </w:rPr>
        <w:t>Lactiplantibacillus</w:t>
      </w:r>
      <w:proofErr w:type="spellEnd"/>
      <w:r w:rsidRPr="005D3EE2">
        <w:rPr>
          <w:rFonts w:eastAsia="Arial" w:cs="Arial"/>
          <w:i/>
          <w:iCs/>
        </w:rPr>
        <w:t xml:space="preserve"> plantarum</w:t>
      </w:r>
      <w:r w:rsidRPr="00EE2698">
        <w:rPr>
          <w:rFonts w:eastAsia="Arial" w:cs="Arial"/>
        </w:rPr>
        <w:t xml:space="preserve"> (formerly </w:t>
      </w:r>
      <w:r w:rsidRPr="005D3EE2">
        <w:rPr>
          <w:rFonts w:eastAsia="Arial" w:cs="Arial"/>
          <w:i/>
          <w:iCs/>
        </w:rPr>
        <w:t>Lactobacillus plantarum</w:t>
      </w:r>
      <w:r w:rsidRPr="00EE2698">
        <w:rPr>
          <w:rFonts w:eastAsia="Arial" w:cs="Arial"/>
        </w:rPr>
        <w:t>) (DSM 26571)</w:t>
      </w:r>
    </w:p>
    <w:p w14:paraId="7C6CB537" w14:textId="5D05B419" w:rsidR="00A278FB" w:rsidRPr="00A278FB" w:rsidRDefault="00A278FB" w:rsidP="00A278FB">
      <w:pPr>
        <w:pStyle w:val="ListParagraph"/>
        <w:numPr>
          <w:ilvl w:val="1"/>
          <w:numId w:val="5"/>
        </w:numPr>
        <w:spacing w:after="240" w:line="360" w:lineRule="auto"/>
        <w:rPr>
          <w:rFonts w:eastAsia="Arial" w:cs="Arial"/>
        </w:rPr>
      </w:pPr>
      <w:proofErr w:type="spellStart"/>
      <w:r w:rsidRPr="00EE2698">
        <w:rPr>
          <w:rFonts w:eastAsia="Arial" w:cs="Arial"/>
        </w:rPr>
        <w:t>RP1052</w:t>
      </w:r>
      <w:proofErr w:type="spellEnd"/>
      <w:r>
        <w:rPr>
          <w:rFonts w:eastAsia="Arial" w:cs="Arial"/>
        </w:rPr>
        <w:t xml:space="preserve"> (Part 1) </w:t>
      </w:r>
      <w:r w:rsidRPr="00EE2698">
        <w:rPr>
          <w:rFonts w:eastAsia="Arial" w:cs="Arial"/>
        </w:rPr>
        <w:t xml:space="preserve">- </w:t>
      </w:r>
      <w:r w:rsidRPr="007126E5">
        <w:rPr>
          <w:rFonts w:eastAsia="Arial" w:cs="Arial"/>
        </w:rPr>
        <w:t>L-lysine base</w:t>
      </w:r>
      <w:r w:rsidRPr="00EE2698">
        <w:rPr>
          <w:rFonts w:eastAsia="Arial" w:cs="Arial"/>
        </w:rPr>
        <w:t xml:space="preserve"> (liquid) produced by </w:t>
      </w:r>
      <w:r w:rsidRPr="005D3EE2">
        <w:rPr>
          <w:rFonts w:eastAsia="Arial" w:cs="Arial"/>
          <w:i/>
          <w:iCs/>
        </w:rPr>
        <w:t xml:space="preserve">Corynebacterium </w:t>
      </w:r>
      <w:proofErr w:type="spellStart"/>
      <w:r w:rsidRPr="005D3EE2">
        <w:rPr>
          <w:rFonts w:eastAsia="Arial" w:cs="Arial"/>
          <w:i/>
          <w:iCs/>
        </w:rPr>
        <w:t>glutamicum</w:t>
      </w:r>
      <w:proofErr w:type="spellEnd"/>
      <w:r w:rsidRPr="00EE2698">
        <w:rPr>
          <w:rFonts w:eastAsia="Arial" w:cs="Arial"/>
        </w:rPr>
        <w:t xml:space="preserve"> (</w:t>
      </w:r>
      <w:proofErr w:type="spellStart"/>
      <w:r w:rsidRPr="00EE2698">
        <w:rPr>
          <w:rFonts w:eastAsia="Arial" w:cs="Arial"/>
        </w:rPr>
        <w:t>KCCM</w:t>
      </w:r>
      <w:proofErr w:type="spellEnd"/>
      <w:r w:rsidRPr="00EE2698">
        <w:rPr>
          <w:rFonts w:eastAsia="Arial" w:cs="Arial"/>
        </w:rPr>
        <w:t xml:space="preserve"> 80216 or </w:t>
      </w:r>
      <w:proofErr w:type="spellStart"/>
      <w:r w:rsidRPr="00EE2698">
        <w:rPr>
          <w:rFonts w:eastAsia="Arial" w:cs="Arial"/>
        </w:rPr>
        <w:t>KCTC</w:t>
      </w:r>
      <w:proofErr w:type="spellEnd"/>
      <w:r w:rsidRPr="00EE2698">
        <w:rPr>
          <w:rFonts w:eastAsia="Arial" w:cs="Arial"/>
        </w:rPr>
        <w:t xml:space="preserve"> </w:t>
      </w:r>
      <w:proofErr w:type="spellStart"/>
      <w:r w:rsidRPr="00EE2698">
        <w:rPr>
          <w:rFonts w:eastAsia="Arial" w:cs="Arial"/>
        </w:rPr>
        <w:t>12307BP</w:t>
      </w:r>
      <w:proofErr w:type="spellEnd"/>
      <w:r w:rsidRPr="00EE2698">
        <w:rPr>
          <w:rFonts w:eastAsia="Arial" w:cs="Arial"/>
        </w:rPr>
        <w:t>)</w:t>
      </w:r>
    </w:p>
    <w:p w14:paraId="156F768C" w14:textId="3EDB0DA1" w:rsidR="00EE2698" w:rsidRDefault="00EE2698" w:rsidP="00F301F7">
      <w:pPr>
        <w:pStyle w:val="ListParagraph"/>
        <w:numPr>
          <w:ilvl w:val="1"/>
          <w:numId w:val="5"/>
        </w:numPr>
        <w:spacing w:after="240" w:line="360" w:lineRule="auto"/>
        <w:rPr>
          <w:rFonts w:eastAsia="Arial" w:cs="Arial"/>
        </w:rPr>
      </w:pPr>
      <w:proofErr w:type="spellStart"/>
      <w:r w:rsidRPr="00EE2698">
        <w:rPr>
          <w:rFonts w:eastAsia="Arial" w:cs="Arial"/>
        </w:rPr>
        <w:t>RP1052</w:t>
      </w:r>
      <w:proofErr w:type="spellEnd"/>
      <w:r w:rsidR="00A278FB">
        <w:rPr>
          <w:rFonts w:eastAsia="Arial" w:cs="Arial"/>
        </w:rPr>
        <w:t xml:space="preserve"> (Part 2)</w:t>
      </w:r>
      <w:r w:rsidRPr="00EE2698">
        <w:rPr>
          <w:rFonts w:eastAsia="Arial" w:cs="Arial"/>
        </w:rPr>
        <w:t xml:space="preserve"> - </w:t>
      </w:r>
      <w:r w:rsidRPr="007126E5">
        <w:rPr>
          <w:rFonts w:eastAsia="Arial" w:cs="Arial"/>
        </w:rPr>
        <w:t>L-lysine monohydrochloride</w:t>
      </w:r>
      <w:r w:rsidRPr="00EE2698">
        <w:rPr>
          <w:rFonts w:eastAsia="Arial" w:cs="Arial"/>
        </w:rPr>
        <w:t xml:space="preserve"> produced by </w:t>
      </w:r>
      <w:r w:rsidRPr="005D3EE2">
        <w:rPr>
          <w:rFonts w:eastAsia="Arial" w:cs="Arial"/>
          <w:i/>
          <w:iCs/>
        </w:rPr>
        <w:t xml:space="preserve">Corynebacterium </w:t>
      </w:r>
      <w:proofErr w:type="spellStart"/>
      <w:r w:rsidRPr="005D3EE2">
        <w:rPr>
          <w:rFonts w:eastAsia="Arial" w:cs="Arial"/>
          <w:i/>
          <w:iCs/>
        </w:rPr>
        <w:t>glutamicum</w:t>
      </w:r>
      <w:proofErr w:type="spellEnd"/>
      <w:r w:rsidRPr="00EE2698">
        <w:rPr>
          <w:rFonts w:eastAsia="Arial" w:cs="Arial"/>
        </w:rPr>
        <w:t xml:space="preserve"> (</w:t>
      </w:r>
      <w:proofErr w:type="spellStart"/>
      <w:r w:rsidRPr="00EE2698">
        <w:rPr>
          <w:rFonts w:eastAsia="Arial" w:cs="Arial"/>
        </w:rPr>
        <w:t>KCCM</w:t>
      </w:r>
      <w:proofErr w:type="spellEnd"/>
      <w:r w:rsidRPr="00EE2698">
        <w:rPr>
          <w:rFonts w:eastAsia="Arial" w:cs="Arial"/>
        </w:rPr>
        <w:t xml:space="preserve"> 80216 or </w:t>
      </w:r>
      <w:proofErr w:type="spellStart"/>
      <w:r w:rsidRPr="00EE2698">
        <w:rPr>
          <w:rFonts w:eastAsia="Arial" w:cs="Arial"/>
        </w:rPr>
        <w:t>KCTC</w:t>
      </w:r>
      <w:proofErr w:type="spellEnd"/>
      <w:r w:rsidRPr="00EE2698">
        <w:rPr>
          <w:rFonts w:eastAsia="Arial" w:cs="Arial"/>
        </w:rPr>
        <w:t xml:space="preserve"> </w:t>
      </w:r>
      <w:proofErr w:type="spellStart"/>
      <w:r w:rsidRPr="00EE2698">
        <w:rPr>
          <w:rFonts w:eastAsia="Arial" w:cs="Arial"/>
        </w:rPr>
        <w:t>12307BP</w:t>
      </w:r>
      <w:proofErr w:type="spellEnd"/>
      <w:r w:rsidRPr="00EE2698">
        <w:rPr>
          <w:rFonts w:eastAsia="Arial" w:cs="Arial"/>
        </w:rPr>
        <w:t>)</w:t>
      </w:r>
    </w:p>
    <w:p w14:paraId="1F7407D7" w14:textId="245E6348" w:rsidR="00C70992" w:rsidRDefault="00EE2698" w:rsidP="005D3EE2">
      <w:pPr>
        <w:pStyle w:val="ListParagraph"/>
        <w:numPr>
          <w:ilvl w:val="1"/>
          <w:numId w:val="5"/>
        </w:numPr>
        <w:spacing w:after="240" w:line="360" w:lineRule="auto"/>
        <w:rPr>
          <w:rFonts w:eastAsia="Arial" w:cs="Arial"/>
        </w:rPr>
      </w:pPr>
      <w:proofErr w:type="spellStart"/>
      <w:r w:rsidRPr="00EE2698">
        <w:rPr>
          <w:rFonts w:eastAsia="Arial" w:cs="Arial"/>
        </w:rPr>
        <w:t>RP1059</w:t>
      </w:r>
      <w:proofErr w:type="spellEnd"/>
      <w:r w:rsidRPr="00EE2698">
        <w:rPr>
          <w:rFonts w:eastAsia="Arial" w:cs="Arial"/>
        </w:rPr>
        <w:t xml:space="preserve"> – 3-</w:t>
      </w:r>
      <w:proofErr w:type="spellStart"/>
      <w:r w:rsidRPr="00EE2698">
        <w:rPr>
          <w:rFonts w:eastAsia="Arial" w:cs="Arial"/>
        </w:rPr>
        <w:t>nitrooxypropanol</w:t>
      </w:r>
      <w:proofErr w:type="spellEnd"/>
      <w:r w:rsidR="00F4308B" w:rsidRPr="00F4308B">
        <w:t xml:space="preserve"> </w:t>
      </w:r>
      <w:r w:rsidR="00F4308B" w:rsidRPr="00BD26A3">
        <w:rPr>
          <w:rStyle w:val="cf01"/>
          <w:rFonts w:ascii="Arial" w:hAnsi="Arial" w:cs="Arial"/>
          <w:sz w:val="24"/>
          <w:szCs w:val="24"/>
        </w:rPr>
        <w:t>(</w:t>
      </w:r>
      <w:proofErr w:type="spellStart"/>
      <w:r w:rsidR="00F4308B" w:rsidRPr="00BD26A3">
        <w:rPr>
          <w:rStyle w:val="cf11"/>
          <w:rFonts w:ascii="Arial" w:hAnsi="Arial" w:cs="Arial"/>
          <w:sz w:val="24"/>
          <w:szCs w:val="24"/>
        </w:rPr>
        <w:t>Bovaer</w:t>
      </w:r>
      <w:proofErr w:type="spellEnd"/>
      <w:r w:rsidR="00F4308B" w:rsidRPr="00BD26A3">
        <w:rPr>
          <w:rStyle w:val="cf11"/>
          <w:rFonts w:ascii="Arial" w:hAnsi="Arial" w:cs="Arial"/>
          <w:sz w:val="24"/>
          <w:szCs w:val="24"/>
        </w:rPr>
        <w:t>® 10)</w:t>
      </w:r>
    </w:p>
    <w:p w14:paraId="320DEEB8" w14:textId="49E4E93D" w:rsidR="00F4308B" w:rsidRPr="00F921B7" w:rsidRDefault="00F4308B" w:rsidP="00963A6B">
      <w:pPr>
        <w:pStyle w:val="Bulletted"/>
        <w:numPr>
          <w:ilvl w:val="0"/>
          <w:numId w:val="8"/>
        </w:numPr>
        <w:rPr>
          <w:rFonts w:eastAsia="Arial"/>
        </w:rPr>
      </w:pPr>
      <w:r w:rsidRPr="00464BFE">
        <w:rPr>
          <w:rFonts w:eastAsia="Arial" w:cs="Arial"/>
        </w:rPr>
        <w:t xml:space="preserve">Renewal, </w:t>
      </w:r>
      <w:r>
        <w:rPr>
          <w:rFonts w:eastAsia="Arial" w:cs="Arial"/>
        </w:rPr>
        <w:t>m</w:t>
      </w:r>
      <w:r w:rsidRPr="00464BFE">
        <w:rPr>
          <w:rFonts w:eastAsia="Arial" w:cs="Arial"/>
        </w:rPr>
        <w:t xml:space="preserve">odification and </w:t>
      </w:r>
      <w:r>
        <w:rPr>
          <w:rFonts w:eastAsia="Arial" w:cs="Arial"/>
        </w:rPr>
        <w:t>n</w:t>
      </w:r>
      <w:r w:rsidRPr="00464BFE">
        <w:rPr>
          <w:rFonts w:eastAsia="Arial" w:cs="Arial"/>
        </w:rPr>
        <w:t xml:space="preserve">ew </w:t>
      </w:r>
      <w:r>
        <w:rPr>
          <w:rFonts w:eastAsia="Arial" w:cs="Arial"/>
        </w:rPr>
        <w:t>u</w:t>
      </w:r>
      <w:r w:rsidRPr="00464BFE">
        <w:rPr>
          <w:rFonts w:eastAsia="Arial" w:cs="Arial"/>
        </w:rPr>
        <w:t>se</w:t>
      </w:r>
    </w:p>
    <w:p w14:paraId="54CB089E" w14:textId="4551B3A0" w:rsidR="00EE2698" w:rsidRDefault="00F4308B" w:rsidP="00F301F7">
      <w:pPr>
        <w:pStyle w:val="ListParagraph"/>
        <w:numPr>
          <w:ilvl w:val="1"/>
          <w:numId w:val="5"/>
        </w:numPr>
        <w:spacing w:after="240" w:line="360" w:lineRule="auto"/>
        <w:rPr>
          <w:rFonts w:eastAsia="Arial" w:cs="Arial"/>
        </w:rPr>
      </w:pPr>
      <w:proofErr w:type="spellStart"/>
      <w:r w:rsidRPr="00054EB2">
        <w:rPr>
          <w:rFonts w:eastAsia="Arial" w:cs="Arial"/>
        </w:rPr>
        <w:t>RP215</w:t>
      </w:r>
      <w:proofErr w:type="spellEnd"/>
      <w:r w:rsidRPr="00054EB2">
        <w:rPr>
          <w:rFonts w:eastAsia="Arial" w:cs="Arial"/>
        </w:rPr>
        <w:t xml:space="preserve"> - Endo-1,4-beta-xylanase (EC 3.2.1.8) </w:t>
      </w:r>
      <w:bookmarkStart w:id="1" w:name="_Hlk142465734"/>
      <w:proofErr w:type="spellStart"/>
      <w:r w:rsidR="00EE2698" w:rsidRPr="00054EB2">
        <w:rPr>
          <w:rFonts w:eastAsia="Arial" w:cs="Arial"/>
        </w:rPr>
        <w:t>RP215</w:t>
      </w:r>
      <w:proofErr w:type="spellEnd"/>
      <w:r w:rsidR="00EE2698" w:rsidRPr="00054EB2">
        <w:rPr>
          <w:rFonts w:eastAsia="Arial" w:cs="Arial"/>
        </w:rPr>
        <w:t xml:space="preserve"> - Endo-1,4-beta-xylanase (EC 3.2.1.8) </w:t>
      </w:r>
      <w:bookmarkEnd w:id="1"/>
      <w:r w:rsidR="00EE2698" w:rsidRPr="00054EB2">
        <w:rPr>
          <w:rFonts w:eastAsia="Arial" w:cs="Arial"/>
        </w:rPr>
        <w:t xml:space="preserve">produced by </w:t>
      </w:r>
      <w:r w:rsidR="00EE2698" w:rsidRPr="005D3EE2">
        <w:rPr>
          <w:rFonts w:eastAsia="Arial" w:cs="Arial"/>
          <w:i/>
          <w:iCs/>
        </w:rPr>
        <w:t xml:space="preserve">Trichoderma </w:t>
      </w:r>
      <w:proofErr w:type="spellStart"/>
      <w:r w:rsidR="00EE2698" w:rsidRPr="005D3EE2">
        <w:rPr>
          <w:rFonts w:eastAsia="Arial" w:cs="Arial"/>
          <w:i/>
          <w:iCs/>
        </w:rPr>
        <w:t>reesei</w:t>
      </w:r>
      <w:proofErr w:type="spellEnd"/>
      <w:r w:rsidR="00EE2698" w:rsidRPr="00054EB2">
        <w:rPr>
          <w:rFonts w:eastAsia="Arial" w:cs="Arial"/>
        </w:rPr>
        <w:t xml:space="preserve"> (CBS 143953, previously deposited as </w:t>
      </w:r>
      <w:proofErr w:type="spellStart"/>
      <w:r w:rsidR="00EE2698" w:rsidRPr="00054EB2">
        <w:rPr>
          <w:rFonts w:eastAsia="Arial" w:cs="Arial"/>
        </w:rPr>
        <w:t>ATCC</w:t>
      </w:r>
      <w:proofErr w:type="spellEnd"/>
      <w:r w:rsidR="00EE2698" w:rsidRPr="00054EB2">
        <w:rPr>
          <w:rFonts w:eastAsia="Arial" w:cs="Arial"/>
        </w:rPr>
        <w:t xml:space="preserve"> 5588)</w:t>
      </w:r>
    </w:p>
    <w:p w14:paraId="6488640A" w14:textId="08D3BB21" w:rsidR="00464BFE" w:rsidRDefault="00464BFE" w:rsidP="00462B99">
      <w:pPr>
        <w:pStyle w:val="Bulletted"/>
        <w:rPr>
          <w:rFonts w:eastAsia="Arial"/>
        </w:rPr>
      </w:pPr>
      <w:r>
        <w:rPr>
          <w:rFonts w:eastAsia="Arial"/>
        </w:rPr>
        <w:t>Renewal of use for two existing additives</w:t>
      </w:r>
    </w:p>
    <w:p w14:paraId="579E1F5E" w14:textId="2D28CA91" w:rsidR="00EE2698" w:rsidRDefault="00EE2698" w:rsidP="00F301F7">
      <w:pPr>
        <w:pStyle w:val="ListParagraph"/>
        <w:numPr>
          <w:ilvl w:val="1"/>
          <w:numId w:val="5"/>
        </w:numPr>
        <w:spacing w:after="240" w:line="360" w:lineRule="auto"/>
        <w:rPr>
          <w:rFonts w:eastAsia="Arial" w:cs="Arial"/>
        </w:rPr>
      </w:pPr>
      <w:proofErr w:type="spellStart"/>
      <w:r w:rsidRPr="00EE2698">
        <w:rPr>
          <w:rFonts w:eastAsia="Arial" w:cs="Arial"/>
        </w:rPr>
        <w:t>RP954</w:t>
      </w:r>
      <w:proofErr w:type="spellEnd"/>
      <w:r w:rsidRPr="00EE2698">
        <w:rPr>
          <w:rFonts w:eastAsia="Arial" w:cs="Arial"/>
        </w:rPr>
        <w:t xml:space="preserve"> - Endo-1,4-beta-xylanase (EC 3.2.1.8) produced by </w:t>
      </w:r>
      <w:r w:rsidRPr="005D3EE2">
        <w:rPr>
          <w:rFonts w:eastAsia="Arial" w:cs="Arial"/>
          <w:i/>
          <w:iCs/>
        </w:rPr>
        <w:t xml:space="preserve">Trichoderma </w:t>
      </w:r>
      <w:proofErr w:type="spellStart"/>
      <w:r w:rsidRPr="005D3EE2">
        <w:rPr>
          <w:rFonts w:eastAsia="Arial" w:cs="Arial"/>
          <w:i/>
          <w:iCs/>
        </w:rPr>
        <w:t>reesei</w:t>
      </w:r>
      <w:proofErr w:type="spellEnd"/>
      <w:r w:rsidRPr="00EE2698">
        <w:rPr>
          <w:rFonts w:eastAsia="Arial" w:cs="Arial"/>
        </w:rPr>
        <w:t xml:space="preserve"> (CBS 114044)</w:t>
      </w:r>
    </w:p>
    <w:p w14:paraId="764033C0" w14:textId="77B790EF" w:rsidR="003656BB" w:rsidRPr="003656BB" w:rsidRDefault="00EE2698" w:rsidP="003656BB">
      <w:pPr>
        <w:pStyle w:val="ListParagraph"/>
        <w:numPr>
          <w:ilvl w:val="1"/>
          <w:numId w:val="5"/>
        </w:numPr>
        <w:spacing w:after="240" w:line="360" w:lineRule="auto"/>
        <w:rPr>
          <w:rFonts w:eastAsia="Arial" w:cs="Arial"/>
        </w:rPr>
      </w:pPr>
      <w:proofErr w:type="spellStart"/>
      <w:r w:rsidRPr="00EE2698">
        <w:rPr>
          <w:rFonts w:eastAsia="Arial" w:cs="Arial"/>
        </w:rPr>
        <w:t>RP955</w:t>
      </w:r>
      <w:proofErr w:type="spellEnd"/>
      <w:r w:rsidRPr="00EE2698">
        <w:rPr>
          <w:rFonts w:eastAsia="Arial" w:cs="Arial"/>
        </w:rPr>
        <w:t xml:space="preserve"> - 6-phytase (EC 3.1.3.26) produced by </w:t>
      </w:r>
      <w:r w:rsidRPr="005D3EE2">
        <w:rPr>
          <w:rFonts w:eastAsia="Arial" w:cs="Arial"/>
          <w:i/>
          <w:iCs/>
        </w:rPr>
        <w:t xml:space="preserve">Trichoderma </w:t>
      </w:r>
      <w:proofErr w:type="spellStart"/>
      <w:r w:rsidRPr="005D3EE2">
        <w:rPr>
          <w:rFonts w:eastAsia="Arial" w:cs="Arial"/>
          <w:i/>
          <w:iCs/>
        </w:rPr>
        <w:t>reesei</w:t>
      </w:r>
      <w:proofErr w:type="spellEnd"/>
      <w:r w:rsidRPr="00EE2698">
        <w:rPr>
          <w:rFonts w:eastAsia="Arial" w:cs="Arial"/>
        </w:rPr>
        <w:t xml:space="preserve"> (CBS 122001)</w:t>
      </w:r>
    </w:p>
    <w:p w14:paraId="628DF787" w14:textId="3CD311ED" w:rsidR="004A5B97" w:rsidRDefault="004A5B97" w:rsidP="00F301F7">
      <w:pPr>
        <w:spacing w:line="360" w:lineRule="auto"/>
        <w:rPr>
          <w:rFonts w:eastAsia="Arial" w:cs="Arial"/>
        </w:rPr>
      </w:pPr>
      <w:r w:rsidRPr="42B03EDF">
        <w:rPr>
          <w:rFonts w:eastAsia="Arial" w:cs="Arial"/>
          <w:color w:val="000000" w:themeColor="text1"/>
        </w:rPr>
        <w:t xml:space="preserve">Stakeholders were asked to consider any relevant provisions of retained </w:t>
      </w:r>
      <w:r w:rsidR="005A49EB">
        <w:rPr>
          <w:rFonts w:eastAsia="Arial" w:cs="Arial"/>
          <w:color w:val="000000" w:themeColor="text1"/>
        </w:rPr>
        <w:t>European Union (</w:t>
      </w:r>
      <w:r w:rsidRPr="42B03EDF">
        <w:rPr>
          <w:rFonts w:eastAsia="Arial" w:cs="Arial"/>
          <w:color w:val="000000" w:themeColor="text1"/>
        </w:rPr>
        <w:t>EU</w:t>
      </w:r>
      <w:r w:rsidR="005A49EB">
        <w:rPr>
          <w:rFonts w:eastAsia="Arial" w:cs="Arial"/>
          <w:color w:val="000000" w:themeColor="text1"/>
        </w:rPr>
        <w:t>)</w:t>
      </w:r>
      <w:r w:rsidRPr="42B03EDF">
        <w:rPr>
          <w:rFonts w:eastAsia="Arial" w:cs="Arial"/>
          <w:color w:val="000000" w:themeColor="text1"/>
        </w:rPr>
        <w:t xml:space="preserve"> law and</w:t>
      </w:r>
      <w:r w:rsidR="007126E5">
        <w:rPr>
          <w:rFonts w:eastAsia="Arial" w:cs="Arial"/>
          <w:color w:val="000000" w:themeColor="text1"/>
        </w:rPr>
        <w:t xml:space="preserve"> other legitimate</w:t>
      </w:r>
      <w:r w:rsidRPr="42B03EDF">
        <w:rPr>
          <w:rFonts w:eastAsia="Arial" w:cs="Arial"/>
          <w:color w:val="000000" w:themeColor="text1"/>
        </w:rPr>
        <w:t xml:space="preserve"> factors (for example, consumer interests, technical feasibility and environmental factors) that </w:t>
      </w:r>
      <w:r>
        <w:rPr>
          <w:rFonts w:eastAsia="Arial" w:cs="Arial"/>
          <w:color w:val="000000" w:themeColor="text1"/>
        </w:rPr>
        <w:t xml:space="preserve">FSS and the </w:t>
      </w:r>
      <w:r w:rsidRPr="42B03EDF">
        <w:rPr>
          <w:rFonts w:eastAsia="Arial" w:cs="Arial"/>
          <w:color w:val="000000" w:themeColor="text1"/>
        </w:rPr>
        <w:t>FSA identified as relevant to these applications.</w:t>
      </w:r>
    </w:p>
    <w:p w14:paraId="7B5DEC6D" w14:textId="4539944D" w:rsidR="004A5B97" w:rsidRDefault="00B63487" w:rsidP="00F301F7">
      <w:pPr>
        <w:spacing w:line="360" w:lineRule="auto"/>
        <w:rPr>
          <w:rFonts w:eastAsia="Arial" w:cs="Arial"/>
          <w:color w:val="000000" w:themeColor="text1"/>
        </w:rPr>
      </w:pPr>
      <w:r>
        <w:rPr>
          <w:rFonts w:eastAsia="Arial" w:cs="Arial"/>
          <w:color w:val="000000" w:themeColor="text1"/>
        </w:rPr>
        <w:lastRenderedPageBreak/>
        <w:t>The consultation</w:t>
      </w:r>
      <w:r w:rsidR="004A5B97" w:rsidRPr="42B03EDF">
        <w:rPr>
          <w:rFonts w:eastAsia="Arial" w:cs="Arial"/>
          <w:color w:val="000000" w:themeColor="text1"/>
        </w:rPr>
        <w:t xml:space="preserve"> </w:t>
      </w:r>
      <w:r w:rsidR="004A5B97">
        <w:rPr>
          <w:rFonts w:eastAsia="Arial" w:cs="Arial"/>
          <w:color w:val="000000" w:themeColor="text1"/>
        </w:rPr>
        <w:t xml:space="preserve">had extensive </w:t>
      </w:r>
      <w:r w:rsidR="004A5B97" w:rsidRPr="42B03EDF">
        <w:rPr>
          <w:rFonts w:eastAsia="Arial" w:cs="Arial"/>
          <w:color w:val="000000" w:themeColor="text1"/>
        </w:rPr>
        <w:t>reach</w:t>
      </w:r>
      <w:r w:rsidR="004A5B97">
        <w:rPr>
          <w:rFonts w:eastAsia="Arial" w:cs="Arial"/>
          <w:color w:val="000000" w:themeColor="text1"/>
        </w:rPr>
        <w:t xml:space="preserve">, achieved through subscription alerts, social media posts and publication in relevant reports. A link to </w:t>
      </w:r>
      <w:r>
        <w:rPr>
          <w:rFonts w:eastAsia="Arial" w:cs="Arial"/>
          <w:color w:val="000000" w:themeColor="text1"/>
        </w:rPr>
        <w:t>the</w:t>
      </w:r>
      <w:r w:rsidR="004A5B97">
        <w:rPr>
          <w:rFonts w:eastAsia="Arial" w:cs="Arial"/>
          <w:color w:val="000000" w:themeColor="text1"/>
        </w:rPr>
        <w:t xml:space="preserve"> consultation was sent to 139 subscribers to </w:t>
      </w:r>
      <w:r w:rsidR="007126E5">
        <w:rPr>
          <w:rFonts w:eastAsia="Arial" w:cs="Arial"/>
          <w:color w:val="000000" w:themeColor="text1"/>
        </w:rPr>
        <w:t>Feed Additive</w:t>
      </w:r>
      <w:r w:rsidR="004A5B97">
        <w:rPr>
          <w:rFonts w:eastAsia="Arial" w:cs="Arial"/>
          <w:color w:val="000000" w:themeColor="text1"/>
        </w:rPr>
        <w:t xml:space="preserve"> updates. The </w:t>
      </w:r>
      <w:r w:rsidR="00507B19">
        <w:rPr>
          <w:rFonts w:eastAsia="Arial" w:cs="Arial"/>
          <w:color w:val="000000" w:themeColor="text1"/>
        </w:rPr>
        <w:t>c</w:t>
      </w:r>
      <w:r w:rsidR="004A5B97">
        <w:rPr>
          <w:rFonts w:eastAsia="Arial" w:cs="Arial"/>
          <w:color w:val="000000" w:themeColor="text1"/>
        </w:rPr>
        <w:t xml:space="preserve">onsultation was also made available to 32 local authorities via the monthly enforcement report. </w:t>
      </w:r>
      <w:r w:rsidR="004A5B97" w:rsidRPr="00B90100">
        <w:rPr>
          <w:rFonts w:eastAsia="Arial" w:cs="Arial"/>
          <w:color w:val="000000" w:themeColor="text1"/>
        </w:rPr>
        <w:t>Key stakeholders whose businesses/organisations are likely to be affected by, or to have an interest in</w:t>
      </w:r>
      <w:r w:rsidR="00507B19">
        <w:rPr>
          <w:rFonts w:eastAsia="Arial" w:cs="Arial"/>
          <w:color w:val="000000" w:themeColor="text1"/>
        </w:rPr>
        <w:t xml:space="preserve"> </w:t>
      </w:r>
      <w:r>
        <w:rPr>
          <w:rFonts w:eastAsia="Arial" w:cs="Arial"/>
          <w:color w:val="000000" w:themeColor="text1"/>
        </w:rPr>
        <w:t>feed additives</w:t>
      </w:r>
      <w:r w:rsidR="004A5B97">
        <w:rPr>
          <w:rFonts w:eastAsia="Arial" w:cs="Arial"/>
          <w:color w:val="000000" w:themeColor="text1"/>
        </w:rPr>
        <w:t xml:space="preserve"> </w:t>
      </w:r>
      <w:r w:rsidR="004A5B97" w:rsidRPr="00B90100">
        <w:rPr>
          <w:rFonts w:eastAsia="Arial" w:cs="Arial"/>
          <w:color w:val="000000" w:themeColor="text1"/>
        </w:rPr>
        <w:t xml:space="preserve">were contacted directly for their feedback. </w:t>
      </w:r>
    </w:p>
    <w:p w14:paraId="667CAE76" w14:textId="2FDC4645" w:rsidR="005C2C7D" w:rsidRPr="005C357E" w:rsidRDefault="006A63A8" w:rsidP="005D3EE2">
      <w:pPr>
        <w:spacing w:line="360" w:lineRule="auto"/>
        <w:rPr>
          <w:rFonts w:eastAsia="Arial"/>
        </w:rPr>
      </w:pPr>
      <w:r>
        <w:rPr>
          <w:rFonts w:eastAsia="Arial" w:cs="Arial"/>
          <w:color w:val="000000" w:themeColor="text1"/>
        </w:rPr>
        <w:t xml:space="preserve">The </w:t>
      </w:r>
      <w:r w:rsidR="005C2C7D" w:rsidRPr="42B03EDF">
        <w:rPr>
          <w:rFonts w:eastAsia="Arial" w:cs="Arial"/>
          <w:color w:val="000000" w:themeColor="text1"/>
        </w:rPr>
        <w:t>consultation</w:t>
      </w:r>
      <w:r w:rsidR="005C2C7D">
        <w:rPr>
          <w:rFonts w:eastAsia="Arial" w:cs="Arial"/>
          <w:color w:val="000000" w:themeColor="text1"/>
        </w:rPr>
        <w:t xml:space="preserve"> w</w:t>
      </w:r>
      <w:r>
        <w:rPr>
          <w:rFonts w:eastAsia="Arial" w:cs="Arial"/>
          <w:color w:val="000000" w:themeColor="text1"/>
        </w:rPr>
        <w:t>as</w:t>
      </w:r>
      <w:r w:rsidR="005C2C7D" w:rsidRPr="42B03EDF">
        <w:rPr>
          <w:rFonts w:eastAsia="Arial" w:cs="Arial"/>
          <w:color w:val="000000" w:themeColor="text1"/>
        </w:rPr>
        <w:t xml:space="preserve"> also shared with the </w:t>
      </w:r>
      <w:proofErr w:type="spellStart"/>
      <w:r w:rsidR="005C2C7D" w:rsidRPr="42B03EDF">
        <w:rPr>
          <w:rFonts w:eastAsia="Arial" w:cs="Arial"/>
          <w:color w:val="000000" w:themeColor="text1"/>
        </w:rPr>
        <w:t>FS</w:t>
      </w:r>
      <w:r w:rsidR="005C2C7D">
        <w:rPr>
          <w:rFonts w:eastAsia="Arial" w:cs="Arial"/>
          <w:color w:val="000000" w:themeColor="text1"/>
        </w:rPr>
        <w:t>S</w:t>
      </w:r>
      <w:r w:rsidR="005C2C7D" w:rsidRPr="42B03EDF">
        <w:rPr>
          <w:rFonts w:eastAsia="Arial" w:cs="Arial"/>
          <w:color w:val="000000" w:themeColor="text1"/>
        </w:rPr>
        <w:t>’s</w:t>
      </w:r>
      <w:proofErr w:type="spellEnd"/>
      <w:r w:rsidR="005C2C7D" w:rsidRPr="42B03EDF">
        <w:rPr>
          <w:rFonts w:eastAsia="Arial" w:cs="Arial"/>
          <w:color w:val="000000" w:themeColor="text1"/>
        </w:rPr>
        <w:t xml:space="preserve"> </w:t>
      </w:r>
      <w:r w:rsidR="005C2C7D">
        <w:rPr>
          <w:rFonts w:eastAsia="Arial" w:cs="Arial"/>
          <w:color w:val="000000" w:themeColor="text1"/>
        </w:rPr>
        <w:t>5,4</w:t>
      </w:r>
      <w:r>
        <w:rPr>
          <w:rFonts w:eastAsia="Arial" w:cs="Arial"/>
          <w:color w:val="000000" w:themeColor="text1"/>
        </w:rPr>
        <w:t>98</w:t>
      </w:r>
      <w:r w:rsidR="005C2C7D">
        <w:rPr>
          <w:rFonts w:eastAsia="Arial" w:cs="Arial"/>
          <w:color w:val="000000" w:themeColor="text1"/>
        </w:rPr>
        <w:t xml:space="preserve"> </w:t>
      </w:r>
      <w:r w:rsidR="005C2C7D" w:rsidRPr="42B03EDF">
        <w:rPr>
          <w:rFonts w:eastAsia="Arial" w:cs="Arial"/>
          <w:color w:val="000000" w:themeColor="text1"/>
        </w:rPr>
        <w:t>Twitter</w:t>
      </w:r>
      <w:r w:rsidR="005C2C7D">
        <w:rPr>
          <w:rFonts w:eastAsia="Arial" w:cs="Arial"/>
          <w:color w:val="000000" w:themeColor="text1"/>
        </w:rPr>
        <w:t xml:space="preserve"> followers, 1</w:t>
      </w:r>
      <w:r>
        <w:rPr>
          <w:rFonts w:eastAsia="Arial" w:cs="Arial"/>
          <w:color w:val="000000" w:themeColor="text1"/>
        </w:rPr>
        <w:t>5,133</w:t>
      </w:r>
      <w:r w:rsidR="005C2C7D">
        <w:rPr>
          <w:rFonts w:eastAsia="Arial" w:cs="Arial"/>
          <w:color w:val="000000" w:themeColor="text1"/>
        </w:rPr>
        <w:t xml:space="preserve"> Facebook followers and </w:t>
      </w:r>
      <w:r>
        <w:rPr>
          <w:rFonts w:eastAsia="Arial" w:cs="Arial"/>
          <w:color w:val="000000" w:themeColor="text1"/>
        </w:rPr>
        <w:t>3,317</w:t>
      </w:r>
      <w:r w:rsidR="005C2C7D" w:rsidRPr="42B03EDF">
        <w:rPr>
          <w:rFonts w:eastAsia="Arial" w:cs="Arial"/>
          <w:color w:val="000000" w:themeColor="text1"/>
        </w:rPr>
        <w:t xml:space="preserve"> LinkedIn followers. </w:t>
      </w:r>
      <w:r w:rsidR="005C2C7D">
        <w:rPr>
          <w:rFonts w:eastAsia="Arial" w:cs="Arial"/>
          <w:color w:val="000000" w:themeColor="text1"/>
        </w:rPr>
        <w:t xml:space="preserve">The posts for the consultation made on all platforms generated a total of </w:t>
      </w:r>
      <w:r>
        <w:rPr>
          <w:rFonts w:eastAsia="Arial" w:cs="Arial"/>
        </w:rPr>
        <w:t>921</w:t>
      </w:r>
      <w:r w:rsidR="005C2C7D" w:rsidRPr="00123F01">
        <w:rPr>
          <w:rFonts w:eastAsia="Arial" w:cs="Arial"/>
        </w:rPr>
        <w:t xml:space="preserve"> </w:t>
      </w:r>
      <w:r w:rsidR="005C2C7D">
        <w:rPr>
          <w:rFonts w:eastAsia="Arial" w:cs="Arial"/>
          <w:color w:val="000000" w:themeColor="text1"/>
        </w:rPr>
        <w:t>impressions and</w:t>
      </w:r>
      <w:r w:rsidR="005C2C7D" w:rsidRPr="00123F01">
        <w:rPr>
          <w:rFonts w:eastAsia="Arial" w:cs="Arial"/>
        </w:rPr>
        <w:t xml:space="preserve"> </w:t>
      </w:r>
      <w:r w:rsidR="00464BFE">
        <w:rPr>
          <w:rFonts w:eastAsia="Arial" w:cs="Arial"/>
        </w:rPr>
        <w:t>3</w:t>
      </w:r>
      <w:r w:rsidR="00462B99">
        <w:rPr>
          <w:rFonts w:eastAsia="Arial" w:cs="Arial"/>
        </w:rPr>
        <w:t xml:space="preserve"> </w:t>
      </w:r>
      <w:r w:rsidR="005C2C7D">
        <w:rPr>
          <w:rFonts w:eastAsia="Arial" w:cs="Arial"/>
          <w:color w:val="000000" w:themeColor="text1"/>
        </w:rPr>
        <w:t xml:space="preserve">engagements. The consultation received </w:t>
      </w:r>
      <w:r w:rsidR="00465782">
        <w:rPr>
          <w:rFonts w:eastAsia="Arial" w:cs="Arial"/>
          <w:color w:val="000000" w:themeColor="text1"/>
        </w:rPr>
        <w:t>156</w:t>
      </w:r>
      <w:r w:rsidR="005C2C7D">
        <w:rPr>
          <w:rFonts w:eastAsia="Arial" w:cs="Arial"/>
          <w:color w:val="000000" w:themeColor="text1"/>
        </w:rPr>
        <w:t xml:space="preserve"> visitors, resulting in the survey being accessed </w:t>
      </w:r>
      <w:r w:rsidR="00465782">
        <w:rPr>
          <w:rFonts w:eastAsia="Arial" w:cs="Arial"/>
          <w:color w:val="000000" w:themeColor="text1"/>
        </w:rPr>
        <w:t>43</w:t>
      </w:r>
      <w:r w:rsidR="005C2C7D">
        <w:rPr>
          <w:rFonts w:eastAsia="Arial" w:cs="Arial"/>
          <w:color w:val="000000" w:themeColor="text1"/>
        </w:rPr>
        <w:t xml:space="preserve"> times</w:t>
      </w:r>
      <w:r w:rsidR="005C2C7D" w:rsidRPr="42B03EDF">
        <w:rPr>
          <w:rFonts w:eastAsia="Arial" w:cs="Arial"/>
          <w:color w:val="000000" w:themeColor="text1"/>
        </w:rPr>
        <w:t xml:space="preserve">. </w:t>
      </w:r>
    </w:p>
    <w:p w14:paraId="583DCC31" w14:textId="77777777" w:rsidR="005C2C7D" w:rsidRDefault="005C2C7D" w:rsidP="00F301F7">
      <w:pPr>
        <w:spacing w:line="360" w:lineRule="auto"/>
        <w:rPr>
          <w:rFonts w:cs="Arial"/>
          <w:b/>
          <w:bCs/>
          <w:color w:val="009CBD"/>
          <w:sz w:val="36"/>
          <w:szCs w:val="36"/>
        </w:rPr>
      </w:pPr>
      <w:r>
        <w:rPr>
          <w:rFonts w:eastAsia="Arial" w:cs="Arial"/>
        </w:rPr>
        <w:t xml:space="preserve">FSS are </w:t>
      </w:r>
      <w:r w:rsidRPr="42B03EDF">
        <w:rPr>
          <w:rFonts w:eastAsia="Arial" w:cs="Arial"/>
        </w:rPr>
        <w:t xml:space="preserve">grateful to those who responded. The comments, together with </w:t>
      </w:r>
      <w:proofErr w:type="spellStart"/>
      <w:r>
        <w:rPr>
          <w:rFonts w:eastAsia="Arial" w:cs="Arial"/>
        </w:rPr>
        <w:t>FSS’s</w:t>
      </w:r>
      <w:proofErr w:type="spellEnd"/>
      <w:r w:rsidRPr="42B03EDF">
        <w:rPr>
          <w:rFonts w:eastAsia="Arial" w:cs="Arial"/>
        </w:rPr>
        <w:t xml:space="preserve"> responses to these, are set </w:t>
      </w:r>
      <w:r>
        <w:rPr>
          <w:rFonts w:eastAsia="Arial" w:cs="Arial"/>
        </w:rPr>
        <w:t xml:space="preserve">out </w:t>
      </w:r>
      <w:r w:rsidRPr="42B03EDF">
        <w:rPr>
          <w:rFonts w:eastAsia="Arial" w:cs="Arial"/>
        </w:rPr>
        <w:t xml:space="preserve">below. </w:t>
      </w:r>
      <w:bookmarkStart w:id="2" w:name="_Hlk34868805"/>
      <w:bookmarkEnd w:id="2"/>
    </w:p>
    <w:p w14:paraId="55CF6025" w14:textId="77777777" w:rsidR="005C2C7D" w:rsidRPr="00B90100" w:rsidRDefault="005C2C7D" w:rsidP="00F301F7">
      <w:pPr>
        <w:spacing w:line="360" w:lineRule="auto"/>
        <w:rPr>
          <w:b/>
          <w:bCs/>
          <w:color w:val="009CBD"/>
          <w:sz w:val="36"/>
          <w:szCs w:val="36"/>
        </w:rPr>
      </w:pPr>
      <w:r w:rsidRPr="00B90100">
        <w:rPr>
          <w:rFonts w:cs="Arial"/>
          <w:b/>
          <w:bCs/>
          <w:color w:val="009CBD"/>
          <w:sz w:val="36"/>
          <w:szCs w:val="36"/>
        </w:rPr>
        <w:t>Characteristics of respondents</w:t>
      </w:r>
    </w:p>
    <w:p w14:paraId="0FA85E4F" w14:textId="110C33D3" w:rsidR="005C2C7D" w:rsidRDefault="003526DF" w:rsidP="00F301F7">
      <w:pPr>
        <w:spacing w:line="360" w:lineRule="auto"/>
        <w:jc w:val="both"/>
        <w:rPr>
          <w:rFonts w:eastAsia="Arial" w:cs="Arial"/>
        </w:rPr>
      </w:pPr>
      <w:r>
        <w:rPr>
          <w:rFonts w:eastAsia="Arial" w:cs="Arial"/>
        </w:rPr>
        <w:t xml:space="preserve">Four </w:t>
      </w:r>
      <w:r w:rsidR="00462B99">
        <w:rPr>
          <w:rFonts w:eastAsia="Arial" w:cs="Arial"/>
        </w:rPr>
        <w:t>responses</w:t>
      </w:r>
      <w:r w:rsidR="005C2C7D" w:rsidRPr="42B03EDF">
        <w:rPr>
          <w:rFonts w:eastAsia="Arial" w:cs="Arial"/>
        </w:rPr>
        <w:t xml:space="preserve"> w</w:t>
      </w:r>
      <w:r w:rsidR="00C70992">
        <w:rPr>
          <w:rFonts w:eastAsia="Arial" w:cs="Arial"/>
        </w:rPr>
        <w:t>ere</w:t>
      </w:r>
      <w:r w:rsidR="005C2C7D" w:rsidRPr="42B03EDF">
        <w:rPr>
          <w:rFonts w:eastAsia="Arial" w:cs="Arial"/>
        </w:rPr>
        <w:t xml:space="preserve"> received</w:t>
      </w:r>
      <w:r w:rsidR="005C2C7D">
        <w:rPr>
          <w:rFonts w:eastAsia="Arial" w:cs="Arial"/>
        </w:rPr>
        <w:t xml:space="preserve"> </w:t>
      </w:r>
      <w:r w:rsidR="005C2C7D" w:rsidRPr="42B03EDF">
        <w:rPr>
          <w:rFonts w:eastAsia="Arial" w:cs="Arial"/>
        </w:rPr>
        <w:t xml:space="preserve">from </w:t>
      </w:r>
      <w:r w:rsidR="00EF4F73">
        <w:rPr>
          <w:rFonts w:eastAsia="Arial" w:cs="Arial"/>
        </w:rPr>
        <w:t>trade bodies and industry</w:t>
      </w:r>
      <w:r w:rsidR="005C2C7D" w:rsidRPr="42B03EDF">
        <w:rPr>
          <w:rFonts w:eastAsia="Arial" w:cs="Arial"/>
        </w:rPr>
        <w:t xml:space="preserve">. </w:t>
      </w:r>
    </w:p>
    <w:p w14:paraId="4936C1A2" w14:textId="77777777" w:rsidR="005C2C7D" w:rsidRDefault="005C2C7D" w:rsidP="00F301F7">
      <w:pPr>
        <w:spacing w:line="360" w:lineRule="auto"/>
        <w:rPr>
          <w:rFonts w:eastAsia="Arial" w:cs="Arial"/>
          <w:sz w:val="36"/>
          <w:szCs w:val="36"/>
        </w:rPr>
      </w:pPr>
      <w:r w:rsidRPr="42B03EDF">
        <w:rPr>
          <w:rFonts w:eastAsia="Arial" w:cs="Arial"/>
        </w:rPr>
        <w:t>A list of those who responded can be found at the end of this document.</w:t>
      </w:r>
    </w:p>
    <w:p w14:paraId="54AF41E3" w14:textId="77777777" w:rsidR="005C2C7D" w:rsidRPr="00B90100" w:rsidRDefault="005C2C7D" w:rsidP="00F301F7">
      <w:pPr>
        <w:spacing w:line="360" w:lineRule="auto"/>
        <w:rPr>
          <w:rFonts w:eastAsia="Arial" w:cs="Arial"/>
          <w:b/>
          <w:bCs/>
          <w:color w:val="009CBD"/>
          <w:sz w:val="36"/>
          <w:szCs w:val="36"/>
        </w:rPr>
      </w:pPr>
      <w:r w:rsidRPr="00B90100">
        <w:rPr>
          <w:rFonts w:eastAsia="Arial" w:cs="Arial"/>
          <w:b/>
          <w:bCs/>
          <w:color w:val="009CBD"/>
          <w:sz w:val="36"/>
          <w:szCs w:val="36"/>
        </w:rPr>
        <w:t>Summary of responses</w:t>
      </w:r>
    </w:p>
    <w:p w14:paraId="4E6D6A7B" w14:textId="681B9134" w:rsidR="00BF3007" w:rsidRDefault="005C2C7D" w:rsidP="00F301F7">
      <w:pPr>
        <w:spacing w:line="360" w:lineRule="auto"/>
        <w:rPr>
          <w:rFonts w:cs="Arial"/>
        </w:rPr>
      </w:pPr>
      <w:r>
        <w:rPr>
          <w:rFonts w:cs="Arial"/>
        </w:rPr>
        <w:t xml:space="preserve">The </w:t>
      </w:r>
      <w:r w:rsidRPr="42B03EDF">
        <w:rPr>
          <w:rFonts w:cs="Arial"/>
        </w:rPr>
        <w:t>response</w:t>
      </w:r>
      <w:r w:rsidR="00C70992">
        <w:rPr>
          <w:rFonts w:cs="Arial"/>
        </w:rPr>
        <w:t>s</w:t>
      </w:r>
      <w:r>
        <w:rPr>
          <w:rFonts w:cs="Arial"/>
        </w:rPr>
        <w:t xml:space="preserve"> </w:t>
      </w:r>
      <w:r w:rsidRPr="42B03EDF">
        <w:rPr>
          <w:rFonts w:cs="Arial"/>
        </w:rPr>
        <w:t xml:space="preserve">received </w:t>
      </w:r>
      <w:r w:rsidR="00B773FF">
        <w:rPr>
          <w:rFonts w:cs="Arial"/>
        </w:rPr>
        <w:t>were</w:t>
      </w:r>
      <w:r w:rsidR="00B773FF" w:rsidRPr="42B03EDF">
        <w:rPr>
          <w:rFonts w:cs="Arial"/>
        </w:rPr>
        <w:t xml:space="preserve"> </w:t>
      </w:r>
      <w:r w:rsidRPr="42B03EDF">
        <w:rPr>
          <w:rFonts w:cs="Arial"/>
        </w:rPr>
        <w:t>support</w:t>
      </w:r>
      <w:r>
        <w:rPr>
          <w:rFonts w:cs="Arial"/>
        </w:rPr>
        <w:t>ive</w:t>
      </w:r>
      <w:r w:rsidRPr="42B03EDF">
        <w:rPr>
          <w:rFonts w:cs="Arial"/>
        </w:rPr>
        <w:t xml:space="preserve"> of the authorisations.</w:t>
      </w:r>
      <w:r w:rsidR="003656BB">
        <w:rPr>
          <w:rFonts w:cs="Arial"/>
        </w:rPr>
        <w:t xml:space="preserve"> One response </w:t>
      </w:r>
      <w:r w:rsidR="00BF3007">
        <w:rPr>
          <w:rFonts w:cs="Arial"/>
        </w:rPr>
        <w:t xml:space="preserve">from industry highlighted minor drafting errors in the FSS/FSA opinion and proposed text amendments to be considered going forward. </w:t>
      </w:r>
    </w:p>
    <w:p w14:paraId="51A84EA7" w14:textId="6F349B14" w:rsidR="00BF3007" w:rsidRPr="005D3EE2" w:rsidRDefault="00BF3007" w:rsidP="00F301F7">
      <w:pPr>
        <w:spacing w:line="360" w:lineRule="auto"/>
        <w:rPr>
          <w:rFonts w:cs="Arial"/>
        </w:rPr>
      </w:pPr>
      <w:r w:rsidRPr="00BF3007">
        <w:rPr>
          <w:rFonts w:cs="Arial"/>
        </w:rPr>
        <w:t>The main concerns raised related to the terminology referred to in the FS</w:t>
      </w:r>
      <w:r>
        <w:rPr>
          <w:rFonts w:cs="Arial"/>
        </w:rPr>
        <w:t>S</w:t>
      </w:r>
      <w:r w:rsidRPr="00BF3007">
        <w:rPr>
          <w:rFonts w:cs="Arial"/>
        </w:rPr>
        <w:t>/FS</w:t>
      </w:r>
      <w:r>
        <w:rPr>
          <w:rFonts w:cs="Arial"/>
        </w:rPr>
        <w:t>A</w:t>
      </w:r>
      <w:r w:rsidRPr="00BF3007">
        <w:rPr>
          <w:rFonts w:cs="Arial"/>
        </w:rPr>
        <w:t xml:space="preserve"> opinion document for the feed additive </w:t>
      </w:r>
      <w:proofErr w:type="spellStart"/>
      <w:r w:rsidRPr="00BF3007">
        <w:rPr>
          <w:rFonts w:cs="Arial"/>
        </w:rPr>
        <w:t>RP955</w:t>
      </w:r>
      <w:proofErr w:type="spellEnd"/>
      <w:r w:rsidRPr="00BF3007">
        <w:rPr>
          <w:rFonts w:cs="Arial"/>
        </w:rPr>
        <w:t xml:space="preserve"> – 6-phytase (EC 3.1.3.26) and </w:t>
      </w:r>
      <w:r w:rsidR="0090151C">
        <w:rPr>
          <w:rFonts w:cs="Arial"/>
        </w:rPr>
        <w:t>its</w:t>
      </w:r>
      <w:r w:rsidR="0090151C" w:rsidRPr="00BF3007">
        <w:rPr>
          <w:rFonts w:cs="Arial"/>
        </w:rPr>
        <w:t xml:space="preserve"> </w:t>
      </w:r>
      <w:r w:rsidRPr="00BF3007">
        <w:rPr>
          <w:rFonts w:cs="Arial"/>
        </w:rPr>
        <w:t>maximum recommended usage levels. The respondent believed that there should be no maximum level of usage applied as noted in Regulation (EU) 2021/982 for 6-phytase (EC 3.1.3.26). FS</w:t>
      </w:r>
      <w:r>
        <w:rPr>
          <w:rFonts w:cs="Arial"/>
        </w:rPr>
        <w:t>S</w:t>
      </w:r>
      <w:r w:rsidRPr="00BF3007">
        <w:rPr>
          <w:rFonts w:cs="Arial"/>
        </w:rPr>
        <w:t xml:space="preserve"> has carefully considered the comments received and the </w:t>
      </w:r>
      <w:r w:rsidRPr="00BF3007">
        <w:rPr>
          <w:rFonts w:cs="Arial"/>
        </w:rPr>
        <w:lastRenderedPageBreak/>
        <w:t xml:space="preserve">views expressed. Legal minimum levels for enzymes such as 6-phytase are set out in legislation to ensure effective use whilst recommended levels hold no legal basis. Whilst EFSA recommendations have been presented within the consultation package, such recommendations will not be laid out in UK law.  </w:t>
      </w:r>
    </w:p>
    <w:p w14:paraId="4F6DD3B9" w14:textId="69A28205" w:rsidR="005C2C7D" w:rsidRDefault="005C2C7D" w:rsidP="00F301F7">
      <w:pPr>
        <w:spacing w:line="360" w:lineRule="auto"/>
        <w:rPr>
          <w:rFonts w:eastAsia="Arial" w:cs="Arial"/>
        </w:rPr>
      </w:pPr>
      <w:r w:rsidRPr="42B03EDF">
        <w:rPr>
          <w:rFonts w:eastAsia="Arial" w:cs="Arial"/>
        </w:rPr>
        <w:t>The full text to</w:t>
      </w:r>
      <w:r w:rsidR="002D00A8">
        <w:rPr>
          <w:rFonts w:eastAsia="Arial" w:cs="Arial"/>
        </w:rPr>
        <w:t xml:space="preserve"> </w:t>
      </w:r>
      <w:r w:rsidRPr="42B03EDF">
        <w:rPr>
          <w:rFonts w:eastAsia="Arial" w:cs="Arial"/>
        </w:rPr>
        <w:t>the respo</w:t>
      </w:r>
      <w:r>
        <w:rPr>
          <w:rFonts w:eastAsia="Arial" w:cs="Arial"/>
        </w:rPr>
        <w:t>nse</w:t>
      </w:r>
      <w:r w:rsidR="00C70992">
        <w:rPr>
          <w:rFonts w:eastAsia="Arial" w:cs="Arial"/>
        </w:rPr>
        <w:t>s</w:t>
      </w:r>
      <w:r w:rsidRPr="42B03EDF">
        <w:rPr>
          <w:rFonts w:eastAsia="Arial" w:cs="Arial"/>
        </w:rPr>
        <w:t xml:space="preserve"> received to the consultation is given below, together with our response to th</w:t>
      </w:r>
      <w:r w:rsidR="00B773FF">
        <w:rPr>
          <w:rFonts w:eastAsia="Arial" w:cs="Arial"/>
        </w:rPr>
        <w:t>e</w:t>
      </w:r>
      <w:r w:rsidR="00507B19">
        <w:rPr>
          <w:rFonts w:eastAsia="Arial" w:cs="Arial"/>
        </w:rPr>
        <w:t>se</w:t>
      </w:r>
      <w:r w:rsidRPr="42B03EDF">
        <w:rPr>
          <w:rFonts w:eastAsia="Arial" w:cs="Arial"/>
        </w:rPr>
        <w:t xml:space="preserve"> comment</w:t>
      </w:r>
      <w:r w:rsidR="00C70992">
        <w:rPr>
          <w:rFonts w:eastAsia="Arial" w:cs="Arial"/>
        </w:rPr>
        <w:t>s</w:t>
      </w:r>
      <w:r w:rsidRPr="42B03EDF">
        <w:rPr>
          <w:rFonts w:eastAsia="Arial" w:cs="Arial"/>
        </w:rPr>
        <w:t>.</w:t>
      </w:r>
    </w:p>
    <w:p w14:paraId="3CCDA69A" w14:textId="77777777" w:rsidR="00E5786D" w:rsidRPr="007625A0" w:rsidRDefault="00E5786D" w:rsidP="00F301F7">
      <w:pPr>
        <w:pStyle w:val="Heading1"/>
        <w:pageBreakBefore/>
        <w:spacing w:line="360" w:lineRule="auto"/>
        <w:rPr>
          <w:color w:val="009CBD"/>
        </w:rPr>
      </w:pPr>
      <w:r w:rsidRPr="007625A0">
        <w:rPr>
          <w:color w:val="009CBD"/>
        </w:rPr>
        <w:lastRenderedPageBreak/>
        <w:t>Table 1: Summary of substantive comments</w:t>
      </w:r>
    </w:p>
    <w:p w14:paraId="07416447" w14:textId="0528CF87" w:rsidR="00F86C44" w:rsidRDefault="00E5786D" w:rsidP="00F301F7">
      <w:pPr>
        <w:spacing w:line="360" w:lineRule="auto"/>
      </w:pPr>
      <w:r w:rsidRPr="007625A0">
        <w:t xml:space="preserve">The responses to the consultation have been analysed and the main themes identified. </w:t>
      </w:r>
      <w:r>
        <w:t>FSS’</w:t>
      </w:r>
      <w:r w:rsidRPr="007625A0">
        <w:t xml:space="preserve"> responses to the comments made are included in the table below.</w:t>
      </w:r>
    </w:p>
    <w:tbl>
      <w:tblPr>
        <w:tblStyle w:val="TableGrid"/>
        <w:tblW w:w="15163" w:type="dxa"/>
        <w:tblLayout w:type="fixed"/>
        <w:tblCellMar>
          <w:top w:w="57" w:type="dxa"/>
          <w:bottom w:w="57" w:type="dxa"/>
        </w:tblCellMar>
        <w:tblLook w:val="04A0" w:firstRow="1" w:lastRow="0" w:firstColumn="1" w:lastColumn="0" w:noHBand="0" w:noVBand="1"/>
        <w:tblCaption w:val="Table 1, Summary of substantive comments with FSA's responses"/>
        <w:tblDescription w:val="Table with 3 columns.  Column 1 lists the respondent.  Column 2 summarises their response to the consultation. Column 3 gives the FSA's response.  "/>
      </w:tblPr>
      <w:tblGrid>
        <w:gridCol w:w="562"/>
        <w:gridCol w:w="1843"/>
        <w:gridCol w:w="5103"/>
        <w:gridCol w:w="7655"/>
      </w:tblGrid>
      <w:tr w:rsidR="00F86C44" w:rsidRPr="007625A0" w14:paraId="1933D7B9" w14:textId="77777777" w:rsidTr="00833D0A">
        <w:trPr>
          <w:tblHeader/>
        </w:trPr>
        <w:tc>
          <w:tcPr>
            <w:tcW w:w="562" w:type="dxa"/>
            <w:shd w:val="clear" w:color="auto" w:fill="009CBD"/>
          </w:tcPr>
          <w:p w14:paraId="66922A63" w14:textId="77777777" w:rsidR="00F86C44" w:rsidRPr="007625A0" w:rsidDel="00275198" w:rsidRDefault="00F86C44" w:rsidP="00F301F7">
            <w:pPr>
              <w:pStyle w:val="TableHeader"/>
              <w:spacing w:after="240" w:line="360" w:lineRule="auto"/>
              <w:rPr>
                <w:lang w:eastAsia="en-US"/>
              </w:rPr>
            </w:pPr>
          </w:p>
        </w:tc>
        <w:tc>
          <w:tcPr>
            <w:tcW w:w="1843" w:type="dxa"/>
            <w:shd w:val="clear" w:color="auto" w:fill="009CBD"/>
          </w:tcPr>
          <w:p w14:paraId="107104B0" w14:textId="77777777" w:rsidR="00F86C44" w:rsidRPr="007625A0" w:rsidRDefault="00F86C44" w:rsidP="00F301F7">
            <w:pPr>
              <w:pStyle w:val="TableHeader"/>
              <w:spacing w:after="240" w:line="360" w:lineRule="auto"/>
              <w:rPr>
                <w:lang w:eastAsia="en-US"/>
              </w:rPr>
            </w:pPr>
            <w:r w:rsidRPr="007625A0">
              <w:rPr>
                <w:lang w:eastAsia="en-US"/>
              </w:rPr>
              <w:t>Main theme of response</w:t>
            </w:r>
          </w:p>
        </w:tc>
        <w:tc>
          <w:tcPr>
            <w:tcW w:w="5103" w:type="dxa"/>
            <w:shd w:val="clear" w:color="auto" w:fill="009CBD"/>
          </w:tcPr>
          <w:p w14:paraId="5ACD9CEB" w14:textId="77777777" w:rsidR="00F86C44" w:rsidRPr="007625A0" w:rsidRDefault="00F86C44" w:rsidP="00F301F7">
            <w:pPr>
              <w:pStyle w:val="TableHeader"/>
              <w:spacing w:after="240" w:line="360" w:lineRule="auto"/>
              <w:rPr>
                <w:lang w:eastAsia="en-US"/>
              </w:rPr>
            </w:pPr>
            <w:r w:rsidRPr="007625A0">
              <w:rPr>
                <w:lang w:eastAsia="en-US"/>
              </w:rPr>
              <w:t>Summary of Stakeholders’ Comments</w:t>
            </w:r>
          </w:p>
        </w:tc>
        <w:tc>
          <w:tcPr>
            <w:tcW w:w="7655" w:type="dxa"/>
            <w:shd w:val="clear" w:color="auto" w:fill="009CBD"/>
          </w:tcPr>
          <w:p w14:paraId="1D09BA11" w14:textId="77777777" w:rsidR="00F86C44" w:rsidRPr="007625A0" w:rsidRDefault="00F86C44" w:rsidP="00F301F7">
            <w:pPr>
              <w:pStyle w:val="TableHeader"/>
              <w:spacing w:after="240" w:line="360" w:lineRule="auto"/>
              <w:rPr>
                <w:lang w:eastAsia="en-US"/>
              </w:rPr>
            </w:pPr>
            <w:r w:rsidRPr="007625A0">
              <w:rPr>
                <w:lang w:eastAsia="en-US"/>
              </w:rPr>
              <w:t>FSS Response</w:t>
            </w:r>
          </w:p>
        </w:tc>
      </w:tr>
      <w:tr w:rsidR="00F86C44" w:rsidRPr="007625A0" w14:paraId="6BB88FC2" w14:textId="77777777" w:rsidTr="00833D0A">
        <w:trPr>
          <w:trHeight w:val="86"/>
        </w:trPr>
        <w:tc>
          <w:tcPr>
            <w:tcW w:w="562" w:type="dxa"/>
            <w:shd w:val="clear" w:color="auto" w:fill="D9F9FF"/>
          </w:tcPr>
          <w:p w14:paraId="74E79ADD" w14:textId="77777777" w:rsidR="00F86C44" w:rsidRPr="007625A0" w:rsidDel="00275198" w:rsidRDefault="00F86C44" w:rsidP="00F301F7">
            <w:pPr>
              <w:pStyle w:val="TableHeader"/>
              <w:spacing w:after="240" w:line="360" w:lineRule="auto"/>
              <w:rPr>
                <w:color w:val="009CBD"/>
                <w:lang w:eastAsia="en-US"/>
              </w:rPr>
            </w:pPr>
          </w:p>
        </w:tc>
        <w:tc>
          <w:tcPr>
            <w:tcW w:w="1843" w:type="dxa"/>
            <w:shd w:val="clear" w:color="auto" w:fill="D9F9FF"/>
          </w:tcPr>
          <w:p w14:paraId="742CF523" w14:textId="77777777" w:rsidR="00F86C44" w:rsidRPr="007625A0" w:rsidRDefault="00F86C44" w:rsidP="00F301F7">
            <w:pPr>
              <w:pStyle w:val="TableHeader"/>
              <w:spacing w:after="240" w:line="360" w:lineRule="auto"/>
              <w:rPr>
                <w:color w:val="009CBD"/>
                <w:lang w:eastAsia="en-US"/>
              </w:rPr>
            </w:pPr>
          </w:p>
        </w:tc>
        <w:tc>
          <w:tcPr>
            <w:tcW w:w="5103" w:type="dxa"/>
            <w:shd w:val="clear" w:color="auto" w:fill="D9F9FF"/>
          </w:tcPr>
          <w:p w14:paraId="7BC52C6F" w14:textId="77777777" w:rsidR="00F86C44" w:rsidRPr="007625A0" w:rsidRDefault="00F86C44" w:rsidP="00F301F7">
            <w:pPr>
              <w:pStyle w:val="TableHeader"/>
              <w:spacing w:after="240" w:line="360" w:lineRule="auto"/>
              <w:rPr>
                <w:color w:val="009CBD"/>
                <w:lang w:eastAsia="en-US"/>
              </w:rPr>
            </w:pPr>
          </w:p>
        </w:tc>
        <w:tc>
          <w:tcPr>
            <w:tcW w:w="7655" w:type="dxa"/>
            <w:shd w:val="clear" w:color="auto" w:fill="D9F9FF"/>
          </w:tcPr>
          <w:p w14:paraId="56468DBE" w14:textId="77777777" w:rsidR="00F86C44" w:rsidRPr="007625A0" w:rsidRDefault="00F86C44" w:rsidP="00F301F7">
            <w:pPr>
              <w:pStyle w:val="TableHeader"/>
              <w:spacing w:after="240" w:line="360" w:lineRule="auto"/>
              <w:rPr>
                <w:color w:val="009CBD"/>
                <w:lang w:eastAsia="en-US"/>
              </w:rPr>
            </w:pPr>
          </w:p>
        </w:tc>
      </w:tr>
      <w:tr w:rsidR="00F86C44" w:rsidRPr="007625A0" w14:paraId="34FEE93E" w14:textId="77777777" w:rsidTr="00833D0A">
        <w:trPr>
          <w:trHeight w:val="86"/>
        </w:trPr>
        <w:tc>
          <w:tcPr>
            <w:tcW w:w="562" w:type="dxa"/>
          </w:tcPr>
          <w:p w14:paraId="226FE83C" w14:textId="77777777" w:rsidR="00F86C44" w:rsidRPr="007625A0" w:rsidRDefault="00F86C44" w:rsidP="00F301F7">
            <w:pPr>
              <w:pStyle w:val="TableRow"/>
              <w:spacing w:after="240" w:line="360" w:lineRule="auto"/>
              <w:rPr>
                <w:lang w:eastAsia="en-US"/>
              </w:rPr>
            </w:pPr>
            <w:r w:rsidRPr="007625A0">
              <w:rPr>
                <w:lang w:eastAsia="en-US"/>
              </w:rPr>
              <w:t>1</w:t>
            </w:r>
          </w:p>
        </w:tc>
        <w:tc>
          <w:tcPr>
            <w:tcW w:w="1843" w:type="dxa"/>
          </w:tcPr>
          <w:p w14:paraId="3A2D08DC" w14:textId="77777777" w:rsidR="00F86C44" w:rsidRPr="007625A0" w:rsidRDefault="00F86C44" w:rsidP="00F301F7">
            <w:pPr>
              <w:pStyle w:val="TableRow"/>
              <w:spacing w:after="240" w:line="360" w:lineRule="auto"/>
              <w:rPr>
                <w:lang w:eastAsia="en-US"/>
              </w:rPr>
            </w:pPr>
            <w:r w:rsidRPr="007625A0">
              <w:rPr>
                <w:lang w:eastAsia="en-US"/>
              </w:rPr>
              <w:t>Support for authorisations</w:t>
            </w:r>
          </w:p>
        </w:tc>
        <w:tc>
          <w:tcPr>
            <w:tcW w:w="5103" w:type="dxa"/>
          </w:tcPr>
          <w:p w14:paraId="5D8A9AD2" w14:textId="77777777" w:rsidR="00F86C44" w:rsidRDefault="00F86C44" w:rsidP="00F301F7">
            <w:pPr>
              <w:spacing w:line="360" w:lineRule="auto"/>
              <w:rPr>
                <w:lang w:eastAsia="en-US"/>
              </w:rPr>
            </w:pPr>
            <w:r>
              <w:rPr>
                <w:lang w:eastAsia="en-US"/>
              </w:rPr>
              <w:t xml:space="preserve">Respondents commenting on behalf of industry </w:t>
            </w:r>
            <w:r w:rsidR="00AA76DD">
              <w:rPr>
                <w:lang w:eastAsia="en-US"/>
              </w:rPr>
              <w:t xml:space="preserve">and trade bodies </w:t>
            </w:r>
            <w:r>
              <w:rPr>
                <w:lang w:eastAsia="en-US"/>
              </w:rPr>
              <w:t xml:space="preserve">were in support of the authorisations.  </w:t>
            </w:r>
          </w:p>
          <w:p w14:paraId="65561B13" w14:textId="6F89E0D0" w:rsidR="00226457" w:rsidRDefault="00DA3541" w:rsidP="00226457">
            <w:pPr>
              <w:rPr>
                <w:lang w:eastAsia="en-US"/>
              </w:rPr>
            </w:pPr>
            <w:r>
              <w:rPr>
                <w:lang w:eastAsia="en-US"/>
              </w:rPr>
              <w:t xml:space="preserve">The main reasons cited were </w:t>
            </w:r>
            <w:r w:rsidR="008C72B8">
              <w:rPr>
                <w:lang w:eastAsia="en-US"/>
              </w:rPr>
              <w:t>disruption between EU and GB trade</w:t>
            </w:r>
            <w:r w:rsidR="00AD398A">
              <w:rPr>
                <w:lang w:eastAsia="en-US"/>
              </w:rPr>
              <w:t xml:space="preserve"> </w:t>
            </w:r>
            <w:r w:rsidR="00226457">
              <w:rPr>
                <w:lang w:eastAsia="en-US"/>
              </w:rPr>
              <w:t xml:space="preserve">and resulting health, welfare, and dietary concerns in farm animals if animal feed additives are not authorised, and the importance to trade in avoiding divergence from the </w:t>
            </w:r>
            <w:r w:rsidR="005D3EE2">
              <w:rPr>
                <w:lang w:eastAsia="en-US"/>
              </w:rPr>
              <w:t xml:space="preserve">EU and </w:t>
            </w:r>
            <w:r w:rsidR="00226457">
              <w:rPr>
                <w:lang w:eastAsia="en-US"/>
              </w:rPr>
              <w:t xml:space="preserve">Northern Ireland, due to logistics. </w:t>
            </w:r>
          </w:p>
          <w:p w14:paraId="359668CE" w14:textId="503D93A6" w:rsidR="00226457" w:rsidRDefault="00226457" w:rsidP="00226457">
            <w:pPr>
              <w:rPr>
                <w:lang w:eastAsia="en-US"/>
              </w:rPr>
            </w:pPr>
            <w:r>
              <w:rPr>
                <w:lang w:eastAsia="en-US"/>
              </w:rPr>
              <w:t xml:space="preserve">Whilst being supportive of the authorisations being consulted on, concerns were raised over the speed of authorisations </w:t>
            </w:r>
            <w:r>
              <w:t xml:space="preserve">and the need </w:t>
            </w:r>
            <w:r>
              <w:lastRenderedPageBreak/>
              <w:t>to avoid a situation where feed additive approvals lag behind those of other key exporting and importing nations.</w:t>
            </w:r>
            <w:r>
              <w:rPr>
                <w:lang w:eastAsia="en-US"/>
              </w:rPr>
              <w:t xml:space="preserve"> </w:t>
            </w:r>
          </w:p>
          <w:p w14:paraId="299CFC18" w14:textId="09AE21AC" w:rsidR="00AD398A" w:rsidRPr="007625A0" w:rsidRDefault="00C47AD2" w:rsidP="00F301F7">
            <w:pPr>
              <w:spacing w:line="360" w:lineRule="auto"/>
              <w:rPr>
                <w:lang w:eastAsia="en-US"/>
              </w:rPr>
            </w:pPr>
            <w:r>
              <w:rPr>
                <w:rFonts w:eastAsia="Arial" w:cs="Arial"/>
              </w:rPr>
              <w:t xml:space="preserve">The </w:t>
            </w:r>
            <w:proofErr w:type="spellStart"/>
            <w:r w:rsidR="00706C10" w:rsidRPr="00706C10">
              <w:rPr>
                <w:rFonts w:eastAsia="Arial" w:cs="Arial"/>
              </w:rPr>
              <w:t>RP1059</w:t>
            </w:r>
            <w:proofErr w:type="spellEnd"/>
            <w:r w:rsidR="00706C10" w:rsidRPr="00706C10">
              <w:rPr>
                <w:rFonts w:eastAsia="Arial" w:cs="Arial"/>
              </w:rPr>
              <w:t xml:space="preserve"> – 3-</w:t>
            </w:r>
            <w:proofErr w:type="spellStart"/>
            <w:r w:rsidR="00706C10" w:rsidRPr="00706C10">
              <w:rPr>
                <w:rFonts w:eastAsia="Arial" w:cs="Arial"/>
              </w:rPr>
              <w:t>nitrooxypropanol</w:t>
            </w:r>
            <w:proofErr w:type="spellEnd"/>
            <w:r w:rsidR="00BF3007">
              <w:rPr>
                <w:rFonts w:eastAsia="Arial" w:cs="Arial"/>
              </w:rPr>
              <w:t xml:space="preserve"> </w:t>
            </w:r>
            <w:r w:rsidR="00BF3007">
              <w:rPr>
                <w:lang w:eastAsia="en-US"/>
              </w:rPr>
              <w:t xml:space="preserve">(3-NOP, </w:t>
            </w:r>
            <w:proofErr w:type="spellStart"/>
            <w:r w:rsidR="00BF3007">
              <w:rPr>
                <w:lang w:eastAsia="en-US"/>
              </w:rPr>
              <w:t>Bovaer</w:t>
            </w:r>
            <w:proofErr w:type="spellEnd"/>
            <w:r w:rsidR="00BF3007">
              <w:rPr>
                <w:rFonts w:eastAsia="Arial" w:cs="Arial"/>
                <w:vertAlign w:val="superscript"/>
              </w:rPr>
              <w:t xml:space="preserve">® </w:t>
            </w:r>
            <w:r w:rsidR="00BF3007">
              <w:rPr>
                <w:rFonts w:eastAsia="Arial" w:cs="Arial"/>
              </w:rPr>
              <w:t>10)</w:t>
            </w:r>
            <w:r>
              <w:rPr>
                <w:rFonts w:eastAsia="Arial" w:cs="Arial"/>
              </w:rPr>
              <w:t xml:space="preserve"> application states a reduction in methane production </w:t>
            </w:r>
            <w:r w:rsidR="00262AF5">
              <w:rPr>
                <w:rFonts w:eastAsia="Arial" w:cs="Arial"/>
              </w:rPr>
              <w:t xml:space="preserve">when </w:t>
            </w:r>
            <w:r w:rsidR="009721B8">
              <w:rPr>
                <w:rFonts w:eastAsia="Arial" w:cs="Arial"/>
              </w:rPr>
              <w:t>added to ruminants feed</w:t>
            </w:r>
            <w:r w:rsidR="00262AF5">
              <w:rPr>
                <w:rFonts w:eastAsia="Arial" w:cs="Arial"/>
              </w:rPr>
              <w:t>.</w:t>
            </w:r>
            <w:r w:rsidR="006C5120">
              <w:rPr>
                <w:rFonts w:eastAsia="Arial" w:cs="Arial"/>
              </w:rPr>
              <w:t xml:space="preserve"> </w:t>
            </w:r>
            <w:r w:rsidR="00BF3007">
              <w:rPr>
                <w:rFonts w:eastAsia="Arial" w:cs="Arial"/>
              </w:rPr>
              <w:t>One respondent</w:t>
            </w:r>
            <w:r w:rsidR="00262AF5">
              <w:rPr>
                <w:rFonts w:eastAsia="Arial" w:cs="Arial"/>
              </w:rPr>
              <w:t xml:space="preserve"> would like to see more studies carried out</w:t>
            </w:r>
            <w:r w:rsidR="00360D8A">
              <w:rPr>
                <w:rFonts w:eastAsia="Arial" w:cs="Arial"/>
              </w:rPr>
              <w:t>.</w:t>
            </w:r>
          </w:p>
        </w:tc>
        <w:tc>
          <w:tcPr>
            <w:tcW w:w="7655" w:type="dxa"/>
          </w:tcPr>
          <w:p w14:paraId="3E15E5A7" w14:textId="77777777" w:rsidR="00F301F7" w:rsidRDefault="006925DA" w:rsidP="00F301F7">
            <w:pPr>
              <w:spacing w:line="360" w:lineRule="auto"/>
              <w:rPr>
                <w:lang w:eastAsia="en-US"/>
              </w:rPr>
            </w:pPr>
            <w:r>
              <w:rPr>
                <w:lang w:eastAsia="en-US"/>
              </w:rPr>
              <w:lastRenderedPageBreak/>
              <w:t xml:space="preserve">Comments noted. </w:t>
            </w:r>
          </w:p>
          <w:p w14:paraId="3CF3C621" w14:textId="77777777" w:rsidR="00226457" w:rsidRDefault="00226457" w:rsidP="00F301F7">
            <w:pPr>
              <w:spacing w:line="360" w:lineRule="auto"/>
              <w:rPr>
                <w:lang w:eastAsia="en-US"/>
              </w:rPr>
            </w:pPr>
          </w:p>
          <w:p w14:paraId="728E092F" w14:textId="6960948B" w:rsidR="00B73073" w:rsidRDefault="00B73073" w:rsidP="00F301F7">
            <w:pPr>
              <w:spacing w:line="360" w:lineRule="auto"/>
              <w:rPr>
                <w:lang w:eastAsia="en-US"/>
              </w:rPr>
            </w:pPr>
            <w:r w:rsidRPr="00B73073">
              <w:rPr>
                <w:lang w:eastAsia="en-US"/>
              </w:rPr>
              <w:t xml:space="preserve">We note these suggestions and will consider them in shaping the process in future.  </w:t>
            </w:r>
          </w:p>
          <w:p w14:paraId="3F9F90CE" w14:textId="77777777" w:rsidR="00226457" w:rsidRDefault="00226457" w:rsidP="00F301F7">
            <w:pPr>
              <w:spacing w:line="360" w:lineRule="auto"/>
              <w:rPr>
                <w:lang w:eastAsia="en-US"/>
              </w:rPr>
            </w:pPr>
          </w:p>
          <w:p w14:paraId="098AE0A0" w14:textId="77777777" w:rsidR="00226457" w:rsidRDefault="00226457" w:rsidP="00F301F7">
            <w:pPr>
              <w:spacing w:line="360" w:lineRule="auto"/>
              <w:rPr>
                <w:lang w:eastAsia="en-US"/>
              </w:rPr>
            </w:pPr>
          </w:p>
          <w:p w14:paraId="0E5910B0" w14:textId="77777777" w:rsidR="00226457" w:rsidRDefault="00226457" w:rsidP="00F301F7">
            <w:pPr>
              <w:spacing w:line="360" w:lineRule="auto"/>
              <w:rPr>
                <w:lang w:eastAsia="en-US"/>
              </w:rPr>
            </w:pPr>
          </w:p>
          <w:p w14:paraId="53977588" w14:textId="77777777" w:rsidR="00226457" w:rsidRDefault="00226457" w:rsidP="00F301F7">
            <w:pPr>
              <w:spacing w:line="360" w:lineRule="auto"/>
              <w:rPr>
                <w:lang w:eastAsia="en-US"/>
              </w:rPr>
            </w:pPr>
          </w:p>
          <w:p w14:paraId="75C8D777" w14:textId="0D434AA9" w:rsidR="0009725E" w:rsidRPr="007625A0" w:rsidRDefault="00583032" w:rsidP="00360D8A">
            <w:pPr>
              <w:spacing w:line="360" w:lineRule="auto"/>
              <w:rPr>
                <w:lang w:eastAsia="en-US"/>
              </w:rPr>
            </w:pPr>
            <w:r>
              <w:rPr>
                <w:lang w:eastAsia="en-US"/>
              </w:rPr>
              <w:lastRenderedPageBreak/>
              <w:t>FSS/FSA provide</w:t>
            </w:r>
            <w:r w:rsidR="005C2984">
              <w:rPr>
                <w:lang w:eastAsia="en-US"/>
              </w:rPr>
              <w:t>d</w:t>
            </w:r>
            <w:r>
              <w:rPr>
                <w:lang w:eastAsia="en-US"/>
              </w:rPr>
              <w:t xml:space="preserve"> </w:t>
            </w:r>
            <w:r w:rsidR="00115757">
              <w:rPr>
                <w:lang w:eastAsia="en-US"/>
              </w:rPr>
              <w:t xml:space="preserve">key details in the consultation from the safety assessment. </w:t>
            </w:r>
            <w:r w:rsidR="0025610B">
              <w:rPr>
                <w:lang w:eastAsia="en-US"/>
              </w:rPr>
              <w:t>These</w:t>
            </w:r>
            <w:r w:rsidR="00B0000B">
              <w:rPr>
                <w:lang w:eastAsia="en-US"/>
              </w:rPr>
              <w:t xml:space="preserve"> </w:t>
            </w:r>
            <w:r w:rsidR="008B1EDD">
              <w:rPr>
                <w:lang w:eastAsia="en-US"/>
              </w:rPr>
              <w:t xml:space="preserve">findings support the statement </w:t>
            </w:r>
            <w:r w:rsidR="00EB465C">
              <w:rPr>
                <w:lang w:eastAsia="en-US"/>
              </w:rPr>
              <w:t xml:space="preserve">that 3-NOP </w:t>
            </w:r>
            <w:r w:rsidR="00B63487">
              <w:rPr>
                <w:lang w:eastAsia="en-US"/>
              </w:rPr>
              <w:t xml:space="preserve">can be efficacious for </w:t>
            </w:r>
            <w:r w:rsidR="00EB465C">
              <w:rPr>
                <w:lang w:eastAsia="en-US"/>
              </w:rPr>
              <w:t>reduc</w:t>
            </w:r>
            <w:r w:rsidR="00B63487">
              <w:rPr>
                <w:lang w:eastAsia="en-US"/>
              </w:rPr>
              <w:t>ing</w:t>
            </w:r>
            <w:r w:rsidR="00EB465C">
              <w:rPr>
                <w:lang w:eastAsia="en-US"/>
              </w:rPr>
              <w:t xml:space="preserve"> methane production in </w:t>
            </w:r>
            <w:r w:rsidR="00ED2288">
              <w:rPr>
                <w:lang w:eastAsia="en-US"/>
              </w:rPr>
              <w:t>ruminants</w:t>
            </w:r>
            <w:r w:rsidR="00B63487">
              <w:rPr>
                <w:lang w:eastAsia="en-US"/>
              </w:rPr>
              <w:t xml:space="preserve"> when fed daily at the proposed dose</w:t>
            </w:r>
            <w:r w:rsidR="00ED2288">
              <w:rPr>
                <w:lang w:eastAsia="en-US"/>
              </w:rPr>
              <w:t xml:space="preserve">. </w:t>
            </w:r>
            <w:r w:rsidR="005D3EE2">
              <w:rPr>
                <w:lang w:eastAsia="en-US"/>
              </w:rPr>
              <w:t xml:space="preserve">The safety assessment presented three </w:t>
            </w:r>
            <w:r w:rsidR="005D3EE2">
              <w:rPr>
                <w:i/>
                <w:iCs/>
                <w:lang w:eastAsia="en-US"/>
              </w:rPr>
              <w:t>in vitro</w:t>
            </w:r>
            <w:r w:rsidR="005D3EE2">
              <w:rPr>
                <w:lang w:eastAsia="en-US"/>
              </w:rPr>
              <w:t xml:space="preserve"> studies, two </w:t>
            </w:r>
            <w:r w:rsidR="00462B99">
              <w:rPr>
                <w:lang w:eastAsia="en-US"/>
              </w:rPr>
              <w:t>meta-analyses</w:t>
            </w:r>
            <w:r w:rsidR="005D3EE2">
              <w:rPr>
                <w:lang w:eastAsia="en-US"/>
              </w:rPr>
              <w:t xml:space="preserve">, and three long term dairy cow efficacy trials. The </w:t>
            </w:r>
            <w:proofErr w:type="spellStart"/>
            <w:r w:rsidR="005D3EE2">
              <w:rPr>
                <w:lang w:eastAsia="en-US"/>
              </w:rPr>
              <w:t>AFFAJEG</w:t>
            </w:r>
            <w:proofErr w:type="spellEnd"/>
            <w:r w:rsidR="005D3EE2">
              <w:rPr>
                <w:lang w:eastAsia="en-US"/>
              </w:rPr>
              <w:t xml:space="preserve"> concluded that these studies showed the additive can be considered to be efficacious for reducing methane production in ruminants when used on a daily basis.</w:t>
            </w:r>
            <w:r w:rsidR="00F82F70">
              <w:rPr>
                <w:lang w:eastAsia="en-US"/>
              </w:rPr>
              <w:t xml:space="preserve"> </w:t>
            </w:r>
          </w:p>
        </w:tc>
      </w:tr>
      <w:tr w:rsidR="00F86C44" w:rsidRPr="007625A0" w14:paraId="32C00F0D" w14:textId="77777777" w:rsidTr="00833D0A">
        <w:trPr>
          <w:trHeight w:val="86"/>
        </w:trPr>
        <w:tc>
          <w:tcPr>
            <w:tcW w:w="562" w:type="dxa"/>
          </w:tcPr>
          <w:p w14:paraId="3246B07D" w14:textId="77777777" w:rsidR="00F86C44" w:rsidRPr="007625A0" w:rsidDel="001F69F1" w:rsidRDefault="00F86C44" w:rsidP="00F301F7">
            <w:pPr>
              <w:pStyle w:val="TableRow"/>
              <w:spacing w:after="240" w:line="360" w:lineRule="auto"/>
              <w:rPr>
                <w:lang w:eastAsia="en-US"/>
              </w:rPr>
            </w:pPr>
            <w:r>
              <w:rPr>
                <w:lang w:eastAsia="en-US"/>
              </w:rPr>
              <w:lastRenderedPageBreak/>
              <w:t>2</w:t>
            </w:r>
          </w:p>
        </w:tc>
        <w:tc>
          <w:tcPr>
            <w:tcW w:w="1843" w:type="dxa"/>
          </w:tcPr>
          <w:p w14:paraId="174C6121" w14:textId="77777777" w:rsidR="00226457" w:rsidRDefault="00226457" w:rsidP="00226457">
            <w:pPr>
              <w:pStyle w:val="TableRow"/>
              <w:rPr>
                <w:lang w:eastAsia="en-US"/>
              </w:rPr>
            </w:pPr>
            <w:r>
              <w:rPr>
                <w:lang w:eastAsia="en-US"/>
              </w:rPr>
              <w:t>Refinement of the consultation document(s)</w:t>
            </w:r>
          </w:p>
          <w:p w14:paraId="5CED7164" w14:textId="6498F7F2" w:rsidR="00F86C44" w:rsidRPr="007625A0" w:rsidRDefault="00F86C44" w:rsidP="00F301F7">
            <w:pPr>
              <w:pStyle w:val="TableRow"/>
              <w:spacing w:after="240" w:line="360" w:lineRule="auto"/>
              <w:rPr>
                <w:lang w:eastAsia="en-US"/>
              </w:rPr>
            </w:pPr>
          </w:p>
        </w:tc>
        <w:tc>
          <w:tcPr>
            <w:tcW w:w="5103" w:type="dxa"/>
          </w:tcPr>
          <w:p w14:paraId="70EC65F6" w14:textId="7B67E2E6" w:rsidR="00226457" w:rsidRDefault="00D42B30" w:rsidP="00F301F7">
            <w:pPr>
              <w:spacing w:line="360" w:lineRule="auto"/>
              <w:rPr>
                <w:rFonts w:eastAsia="Arial"/>
              </w:rPr>
            </w:pPr>
            <w:r>
              <w:rPr>
                <w:rFonts w:eastAsia="Arial"/>
              </w:rPr>
              <w:t>One response highlight</w:t>
            </w:r>
            <w:r w:rsidR="00622318">
              <w:rPr>
                <w:rFonts w:eastAsia="Arial"/>
              </w:rPr>
              <w:t>ed</w:t>
            </w:r>
            <w:r>
              <w:rPr>
                <w:rFonts w:eastAsia="Arial"/>
              </w:rPr>
              <w:t xml:space="preserve"> several discrepancies in </w:t>
            </w:r>
            <w:r w:rsidR="00622318">
              <w:rPr>
                <w:rFonts w:eastAsia="Arial"/>
              </w:rPr>
              <w:t xml:space="preserve">the </w:t>
            </w:r>
            <w:r w:rsidR="00D605DB">
              <w:rPr>
                <w:rFonts w:eastAsia="Arial"/>
              </w:rPr>
              <w:t xml:space="preserve">wording </w:t>
            </w:r>
            <w:r w:rsidR="00622318">
              <w:rPr>
                <w:rFonts w:eastAsia="Arial"/>
              </w:rPr>
              <w:t xml:space="preserve">of </w:t>
            </w:r>
            <w:proofErr w:type="spellStart"/>
            <w:r w:rsidR="00622318">
              <w:rPr>
                <w:rFonts w:eastAsia="Arial"/>
              </w:rPr>
              <w:t>RP954</w:t>
            </w:r>
            <w:proofErr w:type="spellEnd"/>
            <w:r w:rsidR="00622318">
              <w:rPr>
                <w:rFonts w:eastAsia="Arial"/>
              </w:rPr>
              <w:t xml:space="preserve"> &amp; </w:t>
            </w:r>
            <w:proofErr w:type="spellStart"/>
            <w:r w:rsidR="00622318">
              <w:rPr>
                <w:rFonts w:eastAsia="Arial"/>
              </w:rPr>
              <w:t>RP955</w:t>
            </w:r>
            <w:proofErr w:type="spellEnd"/>
            <w:r w:rsidR="00622318">
              <w:rPr>
                <w:rFonts w:eastAsia="Arial"/>
              </w:rPr>
              <w:t xml:space="preserve"> </w:t>
            </w:r>
            <w:r w:rsidR="00D605DB">
              <w:rPr>
                <w:rFonts w:eastAsia="Arial"/>
              </w:rPr>
              <w:t xml:space="preserve">between </w:t>
            </w:r>
            <w:r w:rsidR="00622318">
              <w:rPr>
                <w:rFonts w:eastAsia="Arial"/>
              </w:rPr>
              <w:t xml:space="preserve">the </w:t>
            </w:r>
            <w:r w:rsidR="00D605DB">
              <w:rPr>
                <w:rFonts w:eastAsia="Arial"/>
              </w:rPr>
              <w:t>FSS and F</w:t>
            </w:r>
            <w:r w:rsidR="00125C1A">
              <w:rPr>
                <w:rFonts w:eastAsia="Arial"/>
              </w:rPr>
              <w:t>S</w:t>
            </w:r>
            <w:r w:rsidR="00D605DB">
              <w:rPr>
                <w:rFonts w:eastAsia="Arial"/>
              </w:rPr>
              <w:t>A</w:t>
            </w:r>
            <w:r w:rsidR="00622318">
              <w:rPr>
                <w:rFonts w:eastAsia="Arial"/>
              </w:rPr>
              <w:t xml:space="preserve"> consultations</w:t>
            </w:r>
            <w:r w:rsidR="00226457">
              <w:rPr>
                <w:rFonts w:eastAsia="Arial"/>
              </w:rPr>
              <w:t>.</w:t>
            </w:r>
          </w:p>
          <w:p w14:paraId="37CEE0FA" w14:textId="7471C2AA" w:rsidR="002E5729" w:rsidRDefault="00226457" w:rsidP="00F301F7">
            <w:pPr>
              <w:spacing w:line="360" w:lineRule="auto"/>
              <w:rPr>
                <w:rFonts w:eastAsia="Arial"/>
              </w:rPr>
            </w:pPr>
            <w:r>
              <w:rPr>
                <w:rFonts w:eastAsia="Arial"/>
              </w:rPr>
              <w:t>W</w:t>
            </w:r>
            <w:r w:rsidR="00D605DB">
              <w:rPr>
                <w:rFonts w:eastAsia="Arial"/>
              </w:rPr>
              <w:t xml:space="preserve">hile also highlighting </w:t>
            </w:r>
            <w:r w:rsidR="00622318">
              <w:rPr>
                <w:rFonts w:eastAsia="Arial"/>
              </w:rPr>
              <w:t>that</w:t>
            </w:r>
            <w:r w:rsidR="003B3388" w:rsidRPr="003B3388">
              <w:rPr>
                <w:rFonts w:eastAsia="Arial"/>
              </w:rPr>
              <w:t xml:space="preserve"> both </w:t>
            </w:r>
            <w:r w:rsidR="00462B99" w:rsidRPr="003B3388">
              <w:rPr>
                <w:rFonts w:eastAsia="Arial"/>
              </w:rPr>
              <w:t>applications are</w:t>
            </w:r>
            <w:r w:rsidR="003B3388">
              <w:rPr>
                <w:rFonts w:eastAsia="Arial"/>
              </w:rPr>
              <w:t xml:space="preserve"> referred to as </w:t>
            </w:r>
            <w:r w:rsidR="003B3388" w:rsidRPr="003B3388">
              <w:rPr>
                <w:rFonts w:eastAsia="Arial"/>
              </w:rPr>
              <w:t>bacteria</w:t>
            </w:r>
            <w:r w:rsidR="003B3388">
              <w:rPr>
                <w:rFonts w:eastAsia="Arial"/>
              </w:rPr>
              <w:t xml:space="preserve">, </w:t>
            </w:r>
            <w:r w:rsidR="00622318">
              <w:rPr>
                <w:rFonts w:eastAsia="Arial"/>
              </w:rPr>
              <w:t xml:space="preserve">despite </w:t>
            </w:r>
            <w:r w:rsidR="003B3388">
              <w:rPr>
                <w:rFonts w:eastAsia="Arial"/>
              </w:rPr>
              <w:t xml:space="preserve">these </w:t>
            </w:r>
            <w:r w:rsidR="00CB1D48">
              <w:rPr>
                <w:rFonts w:eastAsia="Arial"/>
              </w:rPr>
              <w:t xml:space="preserve">feed additives </w:t>
            </w:r>
            <w:r w:rsidR="00622318">
              <w:rPr>
                <w:rFonts w:eastAsia="Arial"/>
              </w:rPr>
              <w:t>not being</w:t>
            </w:r>
            <w:r w:rsidR="00CB1D48">
              <w:rPr>
                <w:rFonts w:eastAsia="Arial"/>
              </w:rPr>
              <w:t xml:space="preserve"> of bacterial origin</w:t>
            </w:r>
            <w:r w:rsidR="00622318">
              <w:rPr>
                <w:rFonts w:eastAsia="Arial"/>
              </w:rPr>
              <w:t xml:space="preserve"> and not </w:t>
            </w:r>
            <w:r w:rsidR="00622318">
              <w:rPr>
                <w:rFonts w:eastAsia="Arial"/>
              </w:rPr>
              <w:lastRenderedPageBreak/>
              <w:t xml:space="preserve">being </w:t>
            </w:r>
            <w:r w:rsidR="00CB1D48">
              <w:rPr>
                <w:rFonts w:eastAsia="Arial"/>
              </w:rPr>
              <w:t>produced during fermentation with bacteria.</w:t>
            </w:r>
          </w:p>
          <w:p w14:paraId="1C23FC32" w14:textId="7613E314" w:rsidR="00C41299" w:rsidRPr="007625A0" w:rsidRDefault="00770748" w:rsidP="00F301F7">
            <w:pPr>
              <w:spacing w:line="360" w:lineRule="auto"/>
              <w:rPr>
                <w:rFonts w:eastAsia="Arial"/>
              </w:rPr>
            </w:pPr>
            <w:r>
              <w:rPr>
                <w:rFonts w:eastAsia="Arial"/>
              </w:rPr>
              <w:t xml:space="preserve">One response </w:t>
            </w:r>
            <w:r w:rsidR="00FC6856">
              <w:rPr>
                <w:rFonts w:eastAsia="Arial"/>
              </w:rPr>
              <w:t>not</w:t>
            </w:r>
            <w:r w:rsidR="00622318">
              <w:rPr>
                <w:rFonts w:eastAsia="Arial"/>
              </w:rPr>
              <w:t>ed</w:t>
            </w:r>
            <w:r w:rsidR="00FC6856">
              <w:rPr>
                <w:rFonts w:eastAsia="Arial"/>
              </w:rPr>
              <w:t xml:space="preserve"> that </w:t>
            </w:r>
            <w:r w:rsidR="000B5A16">
              <w:rPr>
                <w:rFonts w:eastAsia="Arial"/>
              </w:rPr>
              <w:t xml:space="preserve">both FSS and FSA have </w:t>
            </w:r>
            <w:r w:rsidR="007C321F">
              <w:rPr>
                <w:rFonts w:eastAsia="Arial"/>
              </w:rPr>
              <w:t>stated a maximum recommended leve</w:t>
            </w:r>
            <w:r w:rsidR="003E6555">
              <w:rPr>
                <w:rFonts w:eastAsia="Arial"/>
              </w:rPr>
              <w:t>l</w:t>
            </w:r>
            <w:r w:rsidR="007C321F">
              <w:rPr>
                <w:rFonts w:eastAsia="Arial"/>
              </w:rPr>
              <w:t xml:space="preserve"> of </w:t>
            </w:r>
            <w:r w:rsidR="00BC34C6">
              <w:rPr>
                <w:rFonts w:eastAsia="Arial"/>
              </w:rPr>
              <w:t>1,</w:t>
            </w:r>
            <w:r w:rsidR="000212C7">
              <w:rPr>
                <w:rFonts w:eastAsia="Arial"/>
              </w:rPr>
              <w:t>000</w:t>
            </w:r>
            <w:r w:rsidR="00BC34C6">
              <w:rPr>
                <w:rFonts w:eastAsia="Arial"/>
              </w:rPr>
              <w:t xml:space="preserve"> PPU/kg</w:t>
            </w:r>
            <w:r w:rsidR="00E8258B">
              <w:rPr>
                <w:rFonts w:eastAsia="Arial"/>
              </w:rPr>
              <w:t xml:space="preserve"> for 6-phytase</w:t>
            </w:r>
            <w:r w:rsidR="00BC34C6">
              <w:rPr>
                <w:rFonts w:eastAsia="Arial"/>
              </w:rPr>
              <w:t xml:space="preserve">. </w:t>
            </w:r>
            <w:r w:rsidR="00622318">
              <w:rPr>
                <w:rFonts w:eastAsia="Arial"/>
              </w:rPr>
              <w:t xml:space="preserve">However, the </w:t>
            </w:r>
            <w:r w:rsidR="00BC34C6">
              <w:rPr>
                <w:rFonts w:eastAsia="Arial"/>
              </w:rPr>
              <w:t xml:space="preserve">table </w:t>
            </w:r>
            <w:r w:rsidR="00622318">
              <w:rPr>
                <w:rFonts w:eastAsia="Arial"/>
              </w:rPr>
              <w:t xml:space="preserve">on proposed conditions of use </w:t>
            </w:r>
            <w:r w:rsidR="00BC34C6">
              <w:rPr>
                <w:rFonts w:eastAsia="Arial"/>
              </w:rPr>
              <w:t xml:space="preserve">included </w:t>
            </w:r>
            <w:r w:rsidR="000212C7">
              <w:rPr>
                <w:rFonts w:eastAsia="Arial"/>
              </w:rPr>
              <w:t xml:space="preserve">states </w:t>
            </w:r>
            <w:r w:rsidR="003E6555">
              <w:rPr>
                <w:rFonts w:eastAsia="Arial"/>
              </w:rPr>
              <w:t xml:space="preserve">there are </w:t>
            </w:r>
            <w:r w:rsidR="000212C7">
              <w:rPr>
                <w:rFonts w:eastAsia="Arial"/>
              </w:rPr>
              <w:t xml:space="preserve">no maximum </w:t>
            </w:r>
            <w:r w:rsidR="00CB749D">
              <w:rPr>
                <w:rFonts w:eastAsia="Arial"/>
              </w:rPr>
              <w:t>levels of 6-phytase</w:t>
            </w:r>
            <w:r w:rsidR="003E6555">
              <w:rPr>
                <w:rFonts w:eastAsia="Arial"/>
              </w:rPr>
              <w:t xml:space="preserve">. </w:t>
            </w:r>
          </w:p>
        </w:tc>
        <w:tc>
          <w:tcPr>
            <w:tcW w:w="7655" w:type="dxa"/>
          </w:tcPr>
          <w:p w14:paraId="263815F5" w14:textId="77777777" w:rsidR="00F86C44" w:rsidRDefault="00B73073" w:rsidP="00F301F7">
            <w:pPr>
              <w:shd w:val="clear" w:color="auto" w:fill="FFFFFF" w:themeFill="background1"/>
              <w:spacing w:before="100" w:beforeAutospacing="1" w:line="360" w:lineRule="auto"/>
              <w:rPr>
                <w:rFonts w:eastAsia="Arial"/>
              </w:rPr>
            </w:pPr>
            <w:r>
              <w:rPr>
                <w:rFonts w:eastAsia="Arial"/>
              </w:rPr>
              <w:lastRenderedPageBreak/>
              <w:t>Comments noted.</w:t>
            </w:r>
          </w:p>
          <w:p w14:paraId="3D688B7E" w14:textId="77777777" w:rsidR="00226457" w:rsidRDefault="00226457" w:rsidP="00F301F7">
            <w:pPr>
              <w:shd w:val="clear" w:color="auto" w:fill="FFFFFF" w:themeFill="background1"/>
              <w:spacing w:before="100" w:beforeAutospacing="1" w:line="360" w:lineRule="auto"/>
              <w:rPr>
                <w:rFonts w:eastAsia="Arial"/>
              </w:rPr>
            </w:pPr>
          </w:p>
          <w:p w14:paraId="4D0B15FD" w14:textId="77777777" w:rsidR="00226457" w:rsidRDefault="00226457" w:rsidP="00F301F7">
            <w:pPr>
              <w:shd w:val="clear" w:color="auto" w:fill="FFFFFF" w:themeFill="background1"/>
              <w:spacing w:before="100" w:beforeAutospacing="1" w:line="360" w:lineRule="auto"/>
              <w:rPr>
                <w:rFonts w:eastAsia="Arial"/>
              </w:rPr>
            </w:pPr>
          </w:p>
          <w:p w14:paraId="5F405872" w14:textId="77777777" w:rsidR="00226457" w:rsidRDefault="00226457" w:rsidP="00F301F7">
            <w:pPr>
              <w:shd w:val="clear" w:color="auto" w:fill="FFFFFF" w:themeFill="background1"/>
              <w:spacing w:before="100" w:beforeAutospacing="1" w:line="360" w:lineRule="auto"/>
              <w:rPr>
                <w:rFonts w:eastAsia="Arial"/>
              </w:rPr>
            </w:pPr>
          </w:p>
          <w:p w14:paraId="18A9AED1" w14:textId="77777777" w:rsidR="00226457" w:rsidRDefault="00226457" w:rsidP="00F301F7">
            <w:pPr>
              <w:shd w:val="clear" w:color="auto" w:fill="FFFFFF" w:themeFill="background1"/>
              <w:spacing w:before="100" w:beforeAutospacing="1" w:line="360" w:lineRule="auto"/>
              <w:rPr>
                <w:rFonts w:eastAsia="Arial"/>
              </w:rPr>
            </w:pPr>
          </w:p>
          <w:p w14:paraId="71716040" w14:textId="300BC553" w:rsidR="00226457" w:rsidRDefault="00226457" w:rsidP="00F301F7">
            <w:pPr>
              <w:shd w:val="clear" w:color="auto" w:fill="FFFFFF" w:themeFill="background1"/>
              <w:spacing w:before="100" w:beforeAutospacing="1" w:line="360" w:lineRule="auto"/>
              <w:rPr>
                <w:rFonts w:eastAsia="Arial"/>
              </w:rPr>
            </w:pPr>
          </w:p>
          <w:p w14:paraId="7B735CC5" w14:textId="77777777" w:rsidR="00226457" w:rsidRDefault="00226457" w:rsidP="00F301F7">
            <w:pPr>
              <w:shd w:val="clear" w:color="auto" w:fill="FFFFFF" w:themeFill="background1"/>
              <w:spacing w:before="100" w:beforeAutospacing="1" w:line="360" w:lineRule="auto"/>
              <w:rPr>
                <w:rFonts w:eastAsia="Arial"/>
              </w:rPr>
            </w:pPr>
          </w:p>
          <w:p w14:paraId="077004C3" w14:textId="77777777" w:rsidR="00360D8A" w:rsidRDefault="00360D8A" w:rsidP="00F301F7">
            <w:pPr>
              <w:shd w:val="clear" w:color="auto" w:fill="FFFFFF" w:themeFill="background1"/>
              <w:spacing w:before="100" w:beforeAutospacing="1" w:line="360" w:lineRule="auto"/>
              <w:rPr>
                <w:rFonts w:eastAsia="Arial"/>
              </w:rPr>
            </w:pPr>
          </w:p>
          <w:p w14:paraId="58310337" w14:textId="5C9CD3A3" w:rsidR="006F123B" w:rsidRDefault="006F123B" w:rsidP="00F301F7">
            <w:pPr>
              <w:shd w:val="clear" w:color="auto" w:fill="FFFFFF" w:themeFill="background1"/>
              <w:spacing w:before="100" w:beforeAutospacing="1" w:line="360" w:lineRule="auto"/>
              <w:rPr>
                <w:rFonts w:eastAsia="Arial"/>
              </w:rPr>
            </w:pPr>
            <w:r w:rsidRPr="00BF3007">
              <w:rPr>
                <w:rFonts w:cs="Arial"/>
              </w:rPr>
              <w:t>Whilst</w:t>
            </w:r>
            <w:r w:rsidR="0009725E">
              <w:rPr>
                <w:rFonts w:cs="Arial"/>
              </w:rPr>
              <w:t xml:space="preserve"> the</w:t>
            </w:r>
            <w:r w:rsidRPr="00BF3007">
              <w:rPr>
                <w:rFonts w:cs="Arial"/>
              </w:rPr>
              <w:t xml:space="preserve"> EFSA recommendations have been presented within the consultation package, </w:t>
            </w:r>
            <w:r w:rsidR="0009725E">
              <w:rPr>
                <w:rFonts w:cs="Arial"/>
              </w:rPr>
              <w:t>recommended use level does not hold a legal basis, it will not be included in UK law.</w:t>
            </w:r>
            <w:r w:rsidRPr="00BF3007">
              <w:rPr>
                <w:rFonts w:cs="Arial"/>
              </w:rPr>
              <w:t xml:space="preserve">  </w:t>
            </w:r>
          </w:p>
          <w:p w14:paraId="7A5BE729" w14:textId="1F2F5960" w:rsidR="006F123B" w:rsidRPr="007625A0" w:rsidRDefault="006F123B" w:rsidP="00F301F7">
            <w:pPr>
              <w:shd w:val="clear" w:color="auto" w:fill="FFFFFF" w:themeFill="background1"/>
              <w:spacing w:before="100" w:beforeAutospacing="1" w:line="360" w:lineRule="auto"/>
              <w:rPr>
                <w:rFonts w:eastAsia="Arial"/>
              </w:rPr>
            </w:pPr>
          </w:p>
        </w:tc>
      </w:tr>
      <w:tr w:rsidR="00F86C44" w:rsidRPr="007625A0" w14:paraId="39AED1E4" w14:textId="77777777" w:rsidTr="00833D0A">
        <w:trPr>
          <w:trHeight w:val="86"/>
        </w:trPr>
        <w:tc>
          <w:tcPr>
            <w:tcW w:w="562" w:type="dxa"/>
          </w:tcPr>
          <w:p w14:paraId="0D0E22A5" w14:textId="77777777" w:rsidR="00F86C44" w:rsidRPr="007625A0" w:rsidRDefault="00F86C44" w:rsidP="00F301F7">
            <w:pPr>
              <w:pStyle w:val="TableRow"/>
              <w:spacing w:after="240" w:line="360" w:lineRule="auto"/>
              <w:rPr>
                <w:lang w:eastAsia="en-US"/>
              </w:rPr>
            </w:pPr>
            <w:r>
              <w:rPr>
                <w:lang w:eastAsia="en-US"/>
              </w:rPr>
              <w:lastRenderedPageBreak/>
              <w:t>3</w:t>
            </w:r>
          </w:p>
        </w:tc>
        <w:tc>
          <w:tcPr>
            <w:tcW w:w="1843" w:type="dxa"/>
          </w:tcPr>
          <w:p w14:paraId="0492C672" w14:textId="7D09864B" w:rsidR="00F86C44" w:rsidRDefault="00360D8A" w:rsidP="00F301F7">
            <w:pPr>
              <w:pStyle w:val="TableRow"/>
              <w:spacing w:after="240" w:line="360" w:lineRule="auto"/>
              <w:rPr>
                <w:lang w:eastAsia="en-US"/>
              </w:rPr>
            </w:pPr>
            <w:r>
              <w:rPr>
                <w:lang w:eastAsia="en-US"/>
              </w:rPr>
              <w:t>Future considerations</w:t>
            </w:r>
          </w:p>
          <w:p w14:paraId="7253BAE7" w14:textId="3F670D33" w:rsidR="00360D8A" w:rsidRPr="007625A0" w:rsidRDefault="00360D8A" w:rsidP="00F301F7">
            <w:pPr>
              <w:pStyle w:val="TableRow"/>
              <w:spacing w:after="240" w:line="360" w:lineRule="auto"/>
              <w:rPr>
                <w:lang w:eastAsia="en-US"/>
              </w:rPr>
            </w:pPr>
          </w:p>
        </w:tc>
        <w:tc>
          <w:tcPr>
            <w:tcW w:w="5103" w:type="dxa"/>
          </w:tcPr>
          <w:p w14:paraId="63BC0B38" w14:textId="391035F1" w:rsidR="00F86C44" w:rsidRPr="007625A0" w:rsidRDefault="003E0A2F" w:rsidP="00F301F7">
            <w:pPr>
              <w:spacing w:line="360" w:lineRule="auto"/>
              <w:rPr>
                <w:rFonts w:eastAsia="Arial"/>
              </w:rPr>
            </w:pPr>
            <w:r>
              <w:rPr>
                <w:rFonts w:eastAsia="Arial"/>
              </w:rPr>
              <w:t xml:space="preserve">One response focused on the </w:t>
            </w:r>
            <w:r w:rsidR="00DE222B">
              <w:rPr>
                <w:rFonts w:eastAsia="Arial"/>
              </w:rPr>
              <w:t xml:space="preserve">need to integrate </w:t>
            </w:r>
            <w:proofErr w:type="spellStart"/>
            <w:r w:rsidR="00DE222B">
              <w:rPr>
                <w:rFonts w:eastAsia="Arial"/>
              </w:rPr>
              <w:t>RP1059</w:t>
            </w:r>
            <w:proofErr w:type="spellEnd"/>
            <w:r w:rsidR="00DE222B">
              <w:rPr>
                <w:rFonts w:eastAsia="Arial"/>
              </w:rPr>
              <w:t xml:space="preserve"> and similar feed additives into emissions </w:t>
            </w:r>
            <w:r w:rsidR="00C41299">
              <w:rPr>
                <w:rFonts w:eastAsia="Arial"/>
              </w:rPr>
              <w:t>calculations and monitoring.</w:t>
            </w:r>
          </w:p>
        </w:tc>
        <w:tc>
          <w:tcPr>
            <w:tcW w:w="7655" w:type="dxa"/>
          </w:tcPr>
          <w:p w14:paraId="28595DF2" w14:textId="77777777" w:rsidR="00D567A5" w:rsidRDefault="00D567A5" w:rsidP="00D567A5">
            <w:pPr>
              <w:spacing w:line="360" w:lineRule="auto"/>
              <w:rPr>
                <w:lang w:eastAsia="en-US"/>
              </w:rPr>
            </w:pPr>
            <w:r w:rsidRPr="00B73073">
              <w:rPr>
                <w:lang w:eastAsia="en-US"/>
              </w:rPr>
              <w:t xml:space="preserve">We note these suggestions and will consider them in shaping the process in future.  </w:t>
            </w:r>
          </w:p>
          <w:p w14:paraId="36BA6BAB" w14:textId="2C5413B0" w:rsidR="00360D8A" w:rsidRDefault="00360D8A" w:rsidP="00360D8A">
            <w:pPr>
              <w:spacing w:line="360" w:lineRule="auto"/>
              <w:rPr>
                <w:lang w:eastAsia="en-US"/>
              </w:rPr>
            </w:pPr>
            <w:r>
              <w:rPr>
                <w:lang w:eastAsia="en-US"/>
              </w:rPr>
              <w:t>Upon publication</w:t>
            </w:r>
            <w:r w:rsidR="009E48EF">
              <w:rPr>
                <w:lang w:eastAsia="en-US"/>
              </w:rPr>
              <w:t xml:space="preserve"> FSS will communicate with colleagues </w:t>
            </w:r>
            <w:r w:rsidR="00D567A5">
              <w:rPr>
                <w:lang w:eastAsia="en-US"/>
              </w:rPr>
              <w:t xml:space="preserve">In the appropriate departments. </w:t>
            </w:r>
          </w:p>
          <w:p w14:paraId="72301552" w14:textId="4DD353F0" w:rsidR="00360D8A" w:rsidRPr="007625A0" w:rsidRDefault="00360D8A" w:rsidP="00F301F7">
            <w:pPr>
              <w:spacing w:line="360" w:lineRule="auto"/>
              <w:rPr>
                <w:rFonts w:eastAsia="Arial"/>
              </w:rPr>
            </w:pPr>
          </w:p>
        </w:tc>
      </w:tr>
      <w:tr w:rsidR="00F07635" w:rsidRPr="007625A0" w14:paraId="109067BF" w14:textId="77777777" w:rsidTr="00833D0A">
        <w:trPr>
          <w:trHeight w:val="86"/>
        </w:trPr>
        <w:tc>
          <w:tcPr>
            <w:tcW w:w="562" w:type="dxa"/>
          </w:tcPr>
          <w:p w14:paraId="26947DA1" w14:textId="1F5A5D2B" w:rsidR="00F07635" w:rsidRDefault="00F07635" w:rsidP="00F301F7">
            <w:pPr>
              <w:pStyle w:val="TableRow"/>
              <w:spacing w:after="240" w:line="360" w:lineRule="auto"/>
              <w:rPr>
                <w:lang w:eastAsia="en-US"/>
              </w:rPr>
            </w:pPr>
            <w:r>
              <w:rPr>
                <w:lang w:eastAsia="en-US"/>
              </w:rPr>
              <w:lastRenderedPageBreak/>
              <w:t>4</w:t>
            </w:r>
          </w:p>
        </w:tc>
        <w:tc>
          <w:tcPr>
            <w:tcW w:w="1843" w:type="dxa"/>
          </w:tcPr>
          <w:p w14:paraId="29A455D8" w14:textId="0D378217" w:rsidR="00F07635" w:rsidRDefault="00F07635" w:rsidP="00F301F7">
            <w:pPr>
              <w:pStyle w:val="TableRow"/>
              <w:spacing w:after="240" w:line="360" w:lineRule="auto"/>
              <w:rPr>
                <w:lang w:eastAsia="en-US"/>
              </w:rPr>
            </w:pPr>
            <w:r>
              <w:rPr>
                <w:lang w:eastAsia="en-US"/>
              </w:rPr>
              <w:t>Trade Economic considerations</w:t>
            </w:r>
          </w:p>
        </w:tc>
        <w:tc>
          <w:tcPr>
            <w:tcW w:w="5103" w:type="dxa"/>
          </w:tcPr>
          <w:p w14:paraId="207DF678" w14:textId="51335CFE" w:rsidR="00F07635" w:rsidRDefault="00F07635" w:rsidP="00F301F7">
            <w:pPr>
              <w:spacing w:line="360" w:lineRule="auto"/>
              <w:rPr>
                <w:rFonts w:eastAsia="Arial"/>
              </w:rPr>
            </w:pPr>
            <w:bookmarkStart w:id="3" w:name="_Hlk142553803"/>
            <w:r>
              <w:rPr>
                <w:rFonts w:eastAsia="Arial"/>
              </w:rPr>
              <w:t xml:space="preserve">One response highlighted the discrepancy in approving </w:t>
            </w:r>
            <w:proofErr w:type="spellStart"/>
            <w:r>
              <w:rPr>
                <w:rFonts w:eastAsia="Arial"/>
              </w:rPr>
              <w:t>RP1059</w:t>
            </w:r>
            <w:proofErr w:type="spellEnd"/>
            <w:r>
              <w:rPr>
                <w:rFonts w:eastAsia="Arial"/>
              </w:rPr>
              <w:t xml:space="preserve"> for all ruminants for milk production and reproduction whereas the EU authorisation is for dairy cows and cows for reproduction only. The respondent was concerned that this may impact the competitive position of foods produced from ruminants given feeds with </w:t>
            </w:r>
            <w:proofErr w:type="spellStart"/>
            <w:r>
              <w:rPr>
                <w:rFonts w:eastAsia="Arial"/>
              </w:rPr>
              <w:t>RP1059</w:t>
            </w:r>
            <w:proofErr w:type="spellEnd"/>
            <w:r>
              <w:rPr>
                <w:rFonts w:eastAsia="Arial"/>
              </w:rPr>
              <w:t xml:space="preserve"> in GB.</w:t>
            </w:r>
            <w:bookmarkEnd w:id="3"/>
          </w:p>
        </w:tc>
        <w:tc>
          <w:tcPr>
            <w:tcW w:w="7655" w:type="dxa"/>
          </w:tcPr>
          <w:p w14:paraId="145BB67C" w14:textId="5ACFB70A" w:rsidR="00FA78B2" w:rsidRPr="00C551AB" w:rsidRDefault="00FA78B2" w:rsidP="00C551AB">
            <w:pPr>
              <w:spacing w:line="360" w:lineRule="auto"/>
              <w:rPr>
                <w:lang w:eastAsia="en-US"/>
              </w:rPr>
            </w:pPr>
            <w:r>
              <w:rPr>
                <w:rFonts w:cs="Arial"/>
              </w:rPr>
              <w:t>Comments noted. </w:t>
            </w:r>
          </w:p>
          <w:p w14:paraId="1D747702" w14:textId="77777777" w:rsidR="00FA78B2" w:rsidRDefault="00FA78B2" w:rsidP="00FA78B2">
            <w:pPr>
              <w:textAlignment w:val="baseline"/>
              <w:rPr>
                <w:rFonts w:ascii="Segoe UI" w:hAnsi="Segoe UI" w:cs="Segoe UI"/>
                <w:sz w:val="18"/>
                <w:szCs w:val="18"/>
              </w:rPr>
            </w:pPr>
            <w:r>
              <w:rPr>
                <w:rFonts w:cs="Arial"/>
              </w:rPr>
              <w:t>We note these suggestions and will consider them in shaping the process in future. </w:t>
            </w:r>
          </w:p>
          <w:p w14:paraId="1B651983" w14:textId="4666FA08" w:rsidR="00F07635" w:rsidRDefault="00FA78B2" w:rsidP="00FA78B2">
            <w:pPr>
              <w:spacing w:line="360" w:lineRule="auto"/>
              <w:rPr>
                <w:lang w:eastAsia="en-US"/>
              </w:rPr>
            </w:pPr>
            <w:r>
              <w:rPr>
                <w:rFonts w:cs="Arial"/>
              </w:rPr>
              <w:t> </w:t>
            </w:r>
          </w:p>
        </w:tc>
      </w:tr>
    </w:tbl>
    <w:p w14:paraId="7F25C20B" w14:textId="77777777" w:rsidR="00F86C44" w:rsidRDefault="00F86C44" w:rsidP="00F301F7">
      <w:pPr>
        <w:spacing w:line="360" w:lineRule="auto"/>
      </w:pPr>
    </w:p>
    <w:p w14:paraId="463BA5B7" w14:textId="77777777" w:rsidR="005C2C7D" w:rsidRPr="006D39B0" w:rsidRDefault="005C2C7D" w:rsidP="00F301F7">
      <w:pPr>
        <w:spacing w:line="360" w:lineRule="auto"/>
        <w:rPr>
          <w:bCs/>
        </w:rPr>
        <w:sectPr w:rsidR="005C2C7D" w:rsidRPr="006D39B0" w:rsidSect="000A5B93">
          <w:footerReference w:type="default" r:id="rId10"/>
          <w:pgSz w:w="16838" w:h="11906" w:orient="landscape"/>
          <w:pgMar w:top="1134" w:right="1134" w:bottom="1276" w:left="992" w:header="709" w:footer="709" w:gutter="0"/>
          <w:cols w:space="1134"/>
          <w:titlePg/>
          <w:docGrid w:linePitch="360"/>
        </w:sectPr>
      </w:pPr>
    </w:p>
    <w:p w14:paraId="79512795" w14:textId="77777777" w:rsidR="005C2C7D" w:rsidRDefault="005C2C7D" w:rsidP="00F301F7">
      <w:pPr>
        <w:pStyle w:val="Heading1"/>
        <w:spacing w:line="360" w:lineRule="auto"/>
        <w:rPr>
          <w:color w:val="009CBD"/>
        </w:rPr>
      </w:pPr>
      <w:r w:rsidRPr="007625A0">
        <w:rPr>
          <w:color w:val="009CBD"/>
        </w:rPr>
        <w:lastRenderedPageBreak/>
        <w:t>Next Steps</w:t>
      </w:r>
    </w:p>
    <w:p w14:paraId="3968719F" w14:textId="40AA78C8" w:rsidR="005C2C7D" w:rsidRPr="00B90100" w:rsidRDefault="005C2C7D" w:rsidP="00F301F7">
      <w:pPr>
        <w:pStyle w:val="ListParagraph"/>
        <w:numPr>
          <w:ilvl w:val="0"/>
          <w:numId w:val="7"/>
        </w:numPr>
        <w:spacing w:after="240" w:line="360" w:lineRule="auto"/>
        <w:rPr>
          <w:rFonts w:eastAsia="Arial" w:cs="Arial"/>
        </w:rPr>
      </w:pPr>
      <w:r w:rsidRPr="00B90100">
        <w:rPr>
          <w:rFonts w:eastAsia="Arial" w:cs="Arial"/>
        </w:rPr>
        <w:t xml:space="preserve">The next step of the authorisation process is for the Minister to make decisions on the authorisation of the </w:t>
      </w:r>
      <w:r w:rsidR="008855A7">
        <w:rPr>
          <w:rFonts w:eastAsia="Arial" w:cs="Arial"/>
        </w:rPr>
        <w:t>thirteen additives</w:t>
      </w:r>
      <w:r w:rsidRPr="00B90100">
        <w:rPr>
          <w:rFonts w:eastAsia="Arial" w:cs="Arial"/>
        </w:rPr>
        <w:t>.</w:t>
      </w:r>
    </w:p>
    <w:p w14:paraId="76DBA937" w14:textId="66E87881" w:rsidR="005C2C7D" w:rsidRPr="00B90100" w:rsidRDefault="005C2C7D" w:rsidP="00F301F7">
      <w:pPr>
        <w:pStyle w:val="ListParagraph"/>
        <w:numPr>
          <w:ilvl w:val="0"/>
          <w:numId w:val="7"/>
        </w:numPr>
        <w:spacing w:after="240" w:line="360" w:lineRule="auto"/>
        <w:rPr>
          <w:rFonts w:eastAsia="Arial" w:cs="Arial"/>
          <w:color w:val="FF0000"/>
        </w:rPr>
      </w:pPr>
      <w:r w:rsidRPr="00B90100">
        <w:rPr>
          <w:rFonts w:eastAsia="Arial" w:cs="Arial"/>
        </w:rPr>
        <w:t xml:space="preserve">The FSS risk assessment opinions on these applications concluded that the products are safe to be authorised based on the proposed terms of authorisation.  </w:t>
      </w:r>
      <w:r w:rsidR="00507B19">
        <w:rPr>
          <w:rFonts w:eastAsia="Arial" w:cs="Arial"/>
        </w:rPr>
        <w:t xml:space="preserve">No reasons to change the advice that the feed additives should be authorised have been identified during the consultation process. </w:t>
      </w:r>
      <w:r w:rsidRPr="00B90100">
        <w:rPr>
          <w:rFonts w:eastAsia="Arial" w:cs="Arial"/>
        </w:rPr>
        <w:t>On that basis, the final advice to respective Ministers</w:t>
      </w:r>
      <w:r>
        <w:rPr>
          <w:rFonts w:eastAsia="Arial" w:cs="Arial"/>
        </w:rPr>
        <w:t xml:space="preserve"> in Scotland, England and Wales</w:t>
      </w:r>
      <w:r w:rsidRPr="00B90100">
        <w:rPr>
          <w:rFonts w:eastAsia="Arial" w:cs="Arial"/>
        </w:rPr>
        <w:t xml:space="preserve"> will be to authorise these </w:t>
      </w:r>
      <w:r w:rsidR="00C70992">
        <w:rPr>
          <w:rFonts w:eastAsia="Arial" w:cs="Arial"/>
        </w:rPr>
        <w:t>feed additives</w:t>
      </w:r>
      <w:r w:rsidRPr="00B90100">
        <w:rPr>
          <w:rFonts w:eastAsia="Arial" w:cs="Arial"/>
        </w:rPr>
        <w:t xml:space="preserve"> on the proposed terms of authorisation</w:t>
      </w:r>
      <w:r w:rsidRPr="00C0506D">
        <w:rPr>
          <w:rFonts w:eastAsia="Arial" w:cs="Arial"/>
          <w:color w:val="auto"/>
        </w:rPr>
        <w:t xml:space="preserve">. </w:t>
      </w:r>
      <w:r w:rsidR="00E8258B">
        <w:rPr>
          <w:rFonts w:eastAsia="Arial" w:cs="Arial"/>
          <w:color w:val="auto"/>
        </w:rPr>
        <w:t>The Permanent Secretary</w:t>
      </w:r>
      <w:r w:rsidR="00E8258B" w:rsidRPr="00C0506D">
        <w:rPr>
          <w:rFonts w:eastAsia="Arial" w:cs="Arial"/>
          <w:color w:val="auto"/>
        </w:rPr>
        <w:t xml:space="preserve"> </w:t>
      </w:r>
      <w:r w:rsidRPr="00C0506D">
        <w:rPr>
          <w:rFonts w:eastAsia="Arial" w:cs="Arial"/>
          <w:color w:val="auto"/>
        </w:rPr>
        <w:t>in Northern Ireland will be informed of the final recommendations.</w:t>
      </w:r>
    </w:p>
    <w:p w14:paraId="63F7959E" w14:textId="36204725" w:rsidR="005C2C7D" w:rsidRPr="00B90100" w:rsidRDefault="005C2C7D" w:rsidP="00F301F7">
      <w:pPr>
        <w:pStyle w:val="ListParagraph"/>
        <w:numPr>
          <w:ilvl w:val="0"/>
          <w:numId w:val="7"/>
        </w:numPr>
        <w:spacing w:after="240" w:line="360" w:lineRule="auto"/>
        <w:rPr>
          <w:rFonts w:eastAsia="Arial" w:cs="Arial"/>
        </w:rPr>
      </w:pPr>
      <w:r w:rsidRPr="00B90100">
        <w:rPr>
          <w:rFonts w:eastAsia="Arial" w:cs="Arial"/>
        </w:rPr>
        <w:t xml:space="preserve">Should </w:t>
      </w:r>
      <w:r>
        <w:rPr>
          <w:rFonts w:eastAsia="Arial" w:cs="Arial"/>
        </w:rPr>
        <w:t xml:space="preserve">the </w:t>
      </w:r>
      <w:r w:rsidRPr="00B90100">
        <w:rPr>
          <w:rFonts w:eastAsia="Arial" w:cs="Arial"/>
        </w:rPr>
        <w:t xml:space="preserve">Minister move to authorise, a Scottish Statutory Instrument will be prepared in line with the terms of authorisation </w:t>
      </w:r>
      <w:r w:rsidR="008855A7">
        <w:rPr>
          <w:rFonts w:eastAsia="Arial" w:cs="Arial"/>
        </w:rPr>
        <w:t>(</w:t>
      </w:r>
      <w:r w:rsidR="00CA1FAA">
        <w:rPr>
          <w:rFonts w:eastAsia="Arial" w:cs="Arial"/>
        </w:rPr>
        <w:t>Annex C</w:t>
      </w:r>
      <w:r w:rsidR="008855A7">
        <w:rPr>
          <w:rFonts w:eastAsia="Arial" w:cs="Arial"/>
        </w:rPr>
        <w:t>)</w:t>
      </w:r>
      <w:r w:rsidR="00CA1FAA">
        <w:rPr>
          <w:rFonts w:eastAsia="Arial" w:cs="Arial"/>
        </w:rPr>
        <w:t xml:space="preserve"> which accompanies the Ministerial Recommendation Submission</w:t>
      </w:r>
      <w:r w:rsidRPr="00B90100">
        <w:rPr>
          <w:rFonts w:eastAsia="Arial" w:cs="Arial"/>
        </w:rPr>
        <w:t>.</w:t>
      </w:r>
    </w:p>
    <w:p w14:paraId="2C33CB4E" w14:textId="77777777" w:rsidR="005C2C7D" w:rsidRPr="007625A0" w:rsidRDefault="005C2C7D" w:rsidP="00F301F7">
      <w:pPr>
        <w:pStyle w:val="Heading1"/>
        <w:spacing w:line="360" w:lineRule="auto"/>
        <w:rPr>
          <w:color w:val="009CBD"/>
        </w:rPr>
      </w:pPr>
      <w:r w:rsidRPr="007625A0">
        <w:rPr>
          <w:color w:val="009CBD"/>
        </w:rPr>
        <w:t>List of respondents</w:t>
      </w:r>
    </w:p>
    <w:p w14:paraId="7CD54298" w14:textId="77AF1843" w:rsidR="005C2C7D" w:rsidRDefault="00C70992" w:rsidP="00F301F7">
      <w:pPr>
        <w:pStyle w:val="ListParagraph"/>
        <w:numPr>
          <w:ilvl w:val="0"/>
          <w:numId w:val="0"/>
        </w:numPr>
        <w:shd w:val="clear" w:color="auto" w:fill="FFFFFF" w:themeFill="background1"/>
        <w:spacing w:after="240" w:line="360" w:lineRule="auto"/>
        <w:ind w:left="720"/>
        <w:jc w:val="both"/>
      </w:pPr>
      <w:r>
        <w:t>The Agricultural Industries Confederation (AIC)</w:t>
      </w:r>
    </w:p>
    <w:p w14:paraId="1342AC24" w14:textId="1BA79219" w:rsidR="00C70992" w:rsidRDefault="00C70992" w:rsidP="00F301F7">
      <w:pPr>
        <w:pStyle w:val="ListParagraph"/>
        <w:numPr>
          <w:ilvl w:val="0"/>
          <w:numId w:val="0"/>
        </w:numPr>
        <w:shd w:val="clear" w:color="auto" w:fill="FFFFFF" w:themeFill="background1"/>
        <w:spacing w:after="240" w:line="360" w:lineRule="auto"/>
        <w:ind w:left="720"/>
        <w:jc w:val="both"/>
      </w:pPr>
      <w:r>
        <w:t>Quality Meat Scotland</w:t>
      </w:r>
    </w:p>
    <w:p w14:paraId="069C7A64" w14:textId="5DD7A0DF" w:rsidR="00C70992" w:rsidRDefault="00C70992" w:rsidP="00F301F7">
      <w:pPr>
        <w:pStyle w:val="ListParagraph"/>
        <w:numPr>
          <w:ilvl w:val="0"/>
          <w:numId w:val="0"/>
        </w:numPr>
        <w:shd w:val="clear" w:color="auto" w:fill="FFFFFF" w:themeFill="background1"/>
        <w:spacing w:after="240" w:line="360" w:lineRule="auto"/>
        <w:ind w:left="720"/>
        <w:jc w:val="both"/>
      </w:pPr>
      <w:r>
        <w:t>National Farmers Union (NFU)</w:t>
      </w:r>
    </w:p>
    <w:p w14:paraId="3443818D" w14:textId="5E47DEDF" w:rsidR="00D51485" w:rsidRDefault="00747E11" w:rsidP="00F301F7">
      <w:pPr>
        <w:pStyle w:val="ListParagraph"/>
        <w:numPr>
          <w:ilvl w:val="0"/>
          <w:numId w:val="0"/>
        </w:numPr>
        <w:shd w:val="clear" w:color="auto" w:fill="FFFFFF" w:themeFill="background1"/>
        <w:spacing w:after="240" w:line="360" w:lineRule="auto"/>
        <w:ind w:left="720"/>
        <w:jc w:val="both"/>
      </w:pPr>
      <w:r>
        <w:t xml:space="preserve">AB Vista </w:t>
      </w:r>
      <w:r w:rsidR="00564653">
        <w:t xml:space="preserve">on behalf of </w:t>
      </w:r>
      <w:proofErr w:type="spellStart"/>
      <w:r w:rsidR="00564653">
        <w:t>Roal</w:t>
      </w:r>
      <w:proofErr w:type="spellEnd"/>
      <w:r w:rsidR="00564653">
        <w:t xml:space="preserve"> OY</w:t>
      </w:r>
    </w:p>
    <w:p w14:paraId="227A8663" w14:textId="77777777" w:rsidR="00C70992" w:rsidRPr="00436D1A" w:rsidRDefault="00C70992" w:rsidP="00F301F7">
      <w:pPr>
        <w:pStyle w:val="ListParagraph"/>
        <w:numPr>
          <w:ilvl w:val="0"/>
          <w:numId w:val="0"/>
        </w:numPr>
        <w:shd w:val="clear" w:color="auto" w:fill="FFFFFF" w:themeFill="background1"/>
        <w:spacing w:after="240" w:line="360" w:lineRule="auto"/>
        <w:ind w:left="720"/>
        <w:jc w:val="both"/>
      </w:pPr>
    </w:p>
    <w:p w14:paraId="23BAAFA0" w14:textId="77777777" w:rsidR="005C2C7D" w:rsidRPr="00B90100" w:rsidRDefault="005C2C7D" w:rsidP="00F301F7">
      <w:pPr>
        <w:spacing w:line="360" w:lineRule="auto"/>
        <w:rPr>
          <w:rFonts w:eastAsia="Arial" w:cs="Arial"/>
          <w:color w:val="FF0000"/>
        </w:rPr>
      </w:pPr>
    </w:p>
    <w:p w14:paraId="7296B839" w14:textId="77777777" w:rsidR="00027C27" w:rsidRPr="009B7615" w:rsidRDefault="00027C27" w:rsidP="00F301F7">
      <w:pPr>
        <w:spacing w:line="360" w:lineRule="auto"/>
      </w:pPr>
    </w:p>
    <w:sectPr w:rsidR="00027C27" w:rsidRPr="009B7615" w:rsidSect="00B561C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C8139" w14:textId="77777777" w:rsidR="00382DAD" w:rsidRDefault="00382DAD">
      <w:pPr>
        <w:spacing w:after="0" w:line="240" w:lineRule="auto"/>
      </w:pPr>
      <w:r>
        <w:separator/>
      </w:r>
    </w:p>
  </w:endnote>
  <w:endnote w:type="continuationSeparator" w:id="0">
    <w:p w14:paraId="45863F0E" w14:textId="77777777" w:rsidR="00382DAD" w:rsidRDefault="00382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582540"/>
      <w:docPartObj>
        <w:docPartGallery w:val="Page Numbers (Bottom of Page)"/>
        <w:docPartUnique/>
      </w:docPartObj>
    </w:sdtPr>
    <w:sdtEndPr>
      <w:rPr>
        <w:noProof/>
      </w:rPr>
    </w:sdtEndPr>
    <w:sdtContent>
      <w:p w14:paraId="1C68CBB0" w14:textId="77777777" w:rsidR="00A86DA0" w:rsidRDefault="00701C8C" w:rsidP="00755882">
        <w:pPr>
          <w:pStyle w:val="Footer"/>
          <w:spacing w:before="240"/>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CD9E4" w14:textId="77777777" w:rsidR="00382DAD" w:rsidRDefault="00382DAD">
      <w:pPr>
        <w:spacing w:after="0" w:line="240" w:lineRule="auto"/>
      </w:pPr>
      <w:r>
        <w:separator/>
      </w:r>
    </w:p>
  </w:footnote>
  <w:footnote w:type="continuationSeparator" w:id="0">
    <w:p w14:paraId="4E54F310" w14:textId="77777777" w:rsidR="00382DAD" w:rsidRDefault="00382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1A5B4749"/>
    <w:multiLevelType w:val="hybridMultilevel"/>
    <w:tmpl w:val="E2D4612E"/>
    <w:lvl w:ilvl="0" w:tplc="B5C82FC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61037"/>
    <w:multiLevelType w:val="hybridMultilevel"/>
    <w:tmpl w:val="FEAE0BE8"/>
    <w:lvl w:ilvl="0" w:tplc="117C0D0A">
      <w:start w:val="1"/>
      <w:numFmt w:val="bullet"/>
      <w:lvlText w:val=""/>
      <w:lvlJc w:val="left"/>
      <w:pPr>
        <w:ind w:left="720" w:hanging="360"/>
      </w:pPr>
      <w:rPr>
        <w:rFonts w:ascii="Symbol" w:hAnsi="Symbol" w:hint="default"/>
      </w:rPr>
    </w:lvl>
    <w:lvl w:ilvl="1" w:tplc="B768839A">
      <w:start w:val="1"/>
      <w:numFmt w:val="bullet"/>
      <w:lvlText w:val="o"/>
      <w:lvlJc w:val="left"/>
      <w:pPr>
        <w:ind w:left="1440" w:hanging="360"/>
      </w:pPr>
      <w:rPr>
        <w:rFonts w:ascii="Courier New" w:hAnsi="Courier New" w:hint="default"/>
      </w:rPr>
    </w:lvl>
    <w:lvl w:ilvl="2" w:tplc="43E4F77E">
      <w:start w:val="1"/>
      <w:numFmt w:val="bullet"/>
      <w:lvlText w:val=""/>
      <w:lvlJc w:val="left"/>
      <w:pPr>
        <w:ind w:left="2160" w:hanging="360"/>
      </w:pPr>
      <w:rPr>
        <w:rFonts w:ascii="Wingdings" w:hAnsi="Wingdings" w:hint="default"/>
      </w:rPr>
    </w:lvl>
    <w:lvl w:ilvl="3" w:tplc="63E02086">
      <w:start w:val="1"/>
      <w:numFmt w:val="bullet"/>
      <w:lvlText w:val=""/>
      <w:lvlJc w:val="left"/>
      <w:pPr>
        <w:ind w:left="2880" w:hanging="360"/>
      </w:pPr>
      <w:rPr>
        <w:rFonts w:ascii="Symbol" w:hAnsi="Symbol" w:hint="default"/>
      </w:rPr>
    </w:lvl>
    <w:lvl w:ilvl="4" w:tplc="1F4AB1C4">
      <w:start w:val="1"/>
      <w:numFmt w:val="bullet"/>
      <w:lvlText w:val="o"/>
      <w:lvlJc w:val="left"/>
      <w:pPr>
        <w:ind w:left="3600" w:hanging="360"/>
      </w:pPr>
      <w:rPr>
        <w:rFonts w:ascii="Courier New" w:hAnsi="Courier New" w:hint="default"/>
      </w:rPr>
    </w:lvl>
    <w:lvl w:ilvl="5" w:tplc="470E71D8">
      <w:start w:val="1"/>
      <w:numFmt w:val="bullet"/>
      <w:lvlText w:val=""/>
      <w:lvlJc w:val="left"/>
      <w:pPr>
        <w:ind w:left="4320" w:hanging="360"/>
      </w:pPr>
      <w:rPr>
        <w:rFonts w:ascii="Wingdings" w:hAnsi="Wingdings" w:hint="default"/>
      </w:rPr>
    </w:lvl>
    <w:lvl w:ilvl="6" w:tplc="E14484A8">
      <w:start w:val="1"/>
      <w:numFmt w:val="bullet"/>
      <w:lvlText w:val=""/>
      <w:lvlJc w:val="left"/>
      <w:pPr>
        <w:ind w:left="5040" w:hanging="360"/>
      </w:pPr>
      <w:rPr>
        <w:rFonts w:ascii="Symbol" w:hAnsi="Symbol" w:hint="default"/>
      </w:rPr>
    </w:lvl>
    <w:lvl w:ilvl="7" w:tplc="92262198">
      <w:start w:val="1"/>
      <w:numFmt w:val="bullet"/>
      <w:lvlText w:val="o"/>
      <w:lvlJc w:val="left"/>
      <w:pPr>
        <w:ind w:left="5760" w:hanging="360"/>
      </w:pPr>
      <w:rPr>
        <w:rFonts w:ascii="Courier New" w:hAnsi="Courier New" w:hint="default"/>
      </w:rPr>
    </w:lvl>
    <w:lvl w:ilvl="8" w:tplc="16D2B5B2">
      <w:start w:val="1"/>
      <w:numFmt w:val="bullet"/>
      <w:lvlText w:val=""/>
      <w:lvlJc w:val="left"/>
      <w:pPr>
        <w:ind w:left="6480" w:hanging="360"/>
      </w:pPr>
      <w:rPr>
        <w:rFonts w:ascii="Wingdings" w:hAnsi="Wingdings" w:hint="default"/>
      </w:rPr>
    </w:lvl>
  </w:abstractNum>
  <w:abstractNum w:abstractNumId="3" w15:restartNumberingAfterBreak="0">
    <w:nsid w:val="34C81980"/>
    <w:multiLevelType w:val="hybridMultilevel"/>
    <w:tmpl w:val="E27EAF1A"/>
    <w:lvl w:ilvl="0" w:tplc="FFFFFFFF">
      <w:start w:val="1"/>
      <w:numFmt w:val="decimal"/>
      <w:pStyle w:val="Heading1"/>
      <w:lvlText w:val="%1."/>
      <w:lvlJc w:val="left"/>
      <w:pPr>
        <w:ind w:left="720" w:hanging="360"/>
      </w:pPr>
    </w:lvl>
    <w:lvl w:ilvl="1" w:tplc="FFFFFFFF" w:tentative="1">
      <w:start w:val="1"/>
      <w:numFmt w:val="lowerLetter"/>
      <w:pStyle w:val="Heading2"/>
      <w:lvlText w:val="%2."/>
      <w:lvlJc w:val="left"/>
      <w:pPr>
        <w:ind w:left="1440" w:hanging="360"/>
      </w:pPr>
    </w:lvl>
    <w:lvl w:ilvl="2" w:tplc="FFFFFFFF" w:tentative="1">
      <w:start w:val="1"/>
      <w:numFmt w:val="lowerRoman"/>
      <w:pStyle w:val="Heading3"/>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73ED58"/>
    <w:multiLevelType w:val="hybridMultilevel"/>
    <w:tmpl w:val="EC18030C"/>
    <w:lvl w:ilvl="0" w:tplc="60CA9CEC">
      <w:start w:val="1"/>
      <w:numFmt w:val="bullet"/>
      <w:pStyle w:val="Bulletted"/>
      <w:lvlText w:val=""/>
      <w:lvlJc w:val="left"/>
      <w:pPr>
        <w:ind w:left="720" w:hanging="360"/>
      </w:pPr>
      <w:rPr>
        <w:rFonts w:ascii="Symbol" w:hAnsi="Symbol" w:hint="default"/>
      </w:rPr>
    </w:lvl>
    <w:lvl w:ilvl="1" w:tplc="7EC248EC">
      <w:start w:val="1"/>
      <w:numFmt w:val="bullet"/>
      <w:lvlText w:val="o"/>
      <w:lvlJc w:val="left"/>
      <w:pPr>
        <w:ind w:left="1440" w:hanging="360"/>
      </w:pPr>
      <w:rPr>
        <w:rFonts w:ascii="Courier New" w:hAnsi="Courier New" w:hint="default"/>
      </w:rPr>
    </w:lvl>
    <w:lvl w:ilvl="2" w:tplc="1C6CDAC0">
      <w:start w:val="1"/>
      <w:numFmt w:val="bullet"/>
      <w:lvlText w:val=""/>
      <w:lvlJc w:val="left"/>
      <w:pPr>
        <w:ind w:left="2160" w:hanging="360"/>
      </w:pPr>
      <w:rPr>
        <w:rFonts w:ascii="Wingdings" w:hAnsi="Wingdings" w:hint="default"/>
      </w:rPr>
    </w:lvl>
    <w:lvl w:ilvl="3" w:tplc="95E4D5E2">
      <w:start w:val="1"/>
      <w:numFmt w:val="bullet"/>
      <w:lvlText w:val=""/>
      <w:lvlJc w:val="left"/>
      <w:pPr>
        <w:ind w:left="2880" w:hanging="360"/>
      </w:pPr>
      <w:rPr>
        <w:rFonts w:ascii="Symbol" w:hAnsi="Symbol" w:hint="default"/>
      </w:rPr>
    </w:lvl>
    <w:lvl w:ilvl="4" w:tplc="D6A4F12C">
      <w:start w:val="1"/>
      <w:numFmt w:val="bullet"/>
      <w:lvlText w:val="o"/>
      <w:lvlJc w:val="left"/>
      <w:pPr>
        <w:ind w:left="3600" w:hanging="360"/>
      </w:pPr>
      <w:rPr>
        <w:rFonts w:ascii="Courier New" w:hAnsi="Courier New" w:hint="default"/>
      </w:rPr>
    </w:lvl>
    <w:lvl w:ilvl="5" w:tplc="E176132A">
      <w:start w:val="1"/>
      <w:numFmt w:val="bullet"/>
      <w:lvlText w:val=""/>
      <w:lvlJc w:val="left"/>
      <w:pPr>
        <w:ind w:left="4320" w:hanging="360"/>
      </w:pPr>
      <w:rPr>
        <w:rFonts w:ascii="Wingdings" w:hAnsi="Wingdings" w:hint="default"/>
      </w:rPr>
    </w:lvl>
    <w:lvl w:ilvl="6" w:tplc="8AAC6340">
      <w:start w:val="1"/>
      <w:numFmt w:val="bullet"/>
      <w:lvlText w:val=""/>
      <w:lvlJc w:val="left"/>
      <w:pPr>
        <w:ind w:left="5040" w:hanging="360"/>
      </w:pPr>
      <w:rPr>
        <w:rFonts w:ascii="Symbol" w:hAnsi="Symbol" w:hint="default"/>
      </w:rPr>
    </w:lvl>
    <w:lvl w:ilvl="7" w:tplc="10D2912A">
      <w:start w:val="1"/>
      <w:numFmt w:val="bullet"/>
      <w:lvlText w:val="o"/>
      <w:lvlJc w:val="left"/>
      <w:pPr>
        <w:ind w:left="5760" w:hanging="360"/>
      </w:pPr>
      <w:rPr>
        <w:rFonts w:ascii="Courier New" w:hAnsi="Courier New" w:hint="default"/>
      </w:rPr>
    </w:lvl>
    <w:lvl w:ilvl="8" w:tplc="99A038EA">
      <w:start w:val="1"/>
      <w:numFmt w:val="bullet"/>
      <w:lvlText w:val=""/>
      <w:lvlJc w:val="left"/>
      <w:pPr>
        <w:ind w:left="6480" w:hanging="360"/>
      </w:pPr>
      <w:rPr>
        <w:rFonts w:ascii="Wingdings" w:hAnsi="Wingdings" w:hint="default"/>
      </w:rPr>
    </w:lvl>
  </w:abstractNum>
  <w:abstractNum w:abstractNumId="6" w15:restartNumberingAfterBreak="0">
    <w:nsid w:val="649B9970"/>
    <w:multiLevelType w:val="hybridMultilevel"/>
    <w:tmpl w:val="C50AB3A4"/>
    <w:lvl w:ilvl="0" w:tplc="399C98B0">
      <w:start w:val="1"/>
      <w:numFmt w:val="bullet"/>
      <w:lvlText w:val=""/>
      <w:lvlJc w:val="left"/>
      <w:pPr>
        <w:ind w:left="720" w:hanging="360"/>
      </w:pPr>
      <w:rPr>
        <w:rFonts w:ascii="Symbol" w:hAnsi="Symbol" w:hint="default"/>
      </w:rPr>
    </w:lvl>
    <w:lvl w:ilvl="1" w:tplc="30F6C3CC">
      <w:start w:val="1"/>
      <w:numFmt w:val="bullet"/>
      <w:lvlText w:val="o"/>
      <w:lvlJc w:val="left"/>
      <w:pPr>
        <w:ind w:left="1440" w:hanging="360"/>
      </w:pPr>
      <w:rPr>
        <w:rFonts w:ascii="Courier New" w:hAnsi="Courier New" w:hint="default"/>
      </w:rPr>
    </w:lvl>
    <w:lvl w:ilvl="2" w:tplc="1AF46770">
      <w:start w:val="1"/>
      <w:numFmt w:val="bullet"/>
      <w:lvlText w:val=""/>
      <w:lvlJc w:val="left"/>
      <w:pPr>
        <w:ind w:left="2160" w:hanging="360"/>
      </w:pPr>
      <w:rPr>
        <w:rFonts w:ascii="Wingdings" w:hAnsi="Wingdings" w:hint="default"/>
      </w:rPr>
    </w:lvl>
    <w:lvl w:ilvl="3" w:tplc="CB68FF52">
      <w:start w:val="1"/>
      <w:numFmt w:val="bullet"/>
      <w:lvlText w:val=""/>
      <w:lvlJc w:val="left"/>
      <w:pPr>
        <w:ind w:left="2880" w:hanging="360"/>
      </w:pPr>
      <w:rPr>
        <w:rFonts w:ascii="Symbol" w:hAnsi="Symbol" w:hint="default"/>
      </w:rPr>
    </w:lvl>
    <w:lvl w:ilvl="4" w:tplc="7D90A3B6">
      <w:start w:val="1"/>
      <w:numFmt w:val="bullet"/>
      <w:lvlText w:val="o"/>
      <w:lvlJc w:val="left"/>
      <w:pPr>
        <w:ind w:left="3600" w:hanging="360"/>
      </w:pPr>
      <w:rPr>
        <w:rFonts w:ascii="Courier New" w:hAnsi="Courier New" w:hint="default"/>
      </w:rPr>
    </w:lvl>
    <w:lvl w:ilvl="5" w:tplc="2154EA8A">
      <w:start w:val="1"/>
      <w:numFmt w:val="bullet"/>
      <w:lvlText w:val=""/>
      <w:lvlJc w:val="left"/>
      <w:pPr>
        <w:ind w:left="4320" w:hanging="360"/>
      </w:pPr>
      <w:rPr>
        <w:rFonts w:ascii="Wingdings" w:hAnsi="Wingdings" w:hint="default"/>
      </w:rPr>
    </w:lvl>
    <w:lvl w:ilvl="6" w:tplc="3842B8EA">
      <w:start w:val="1"/>
      <w:numFmt w:val="bullet"/>
      <w:lvlText w:val=""/>
      <w:lvlJc w:val="left"/>
      <w:pPr>
        <w:ind w:left="5040" w:hanging="360"/>
      </w:pPr>
      <w:rPr>
        <w:rFonts w:ascii="Symbol" w:hAnsi="Symbol" w:hint="default"/>
      </w:rPr>
    </w:lvl>
    <w:lvl w:ilvl="7" w:tplc="65B2B466">
      <w:start w:val="1"/>
      <w:numFmt w:val="bullet"/>
      <w:lvlText w:val="o"/>
      <w:lvlJc w:val="left"/>
      <w:pPr>
        <w:ind w:left="5760" w:hanging="360"/>
      </w:pPr>
      <w:rPr>
        <w:rFonts w:ascii="Courier New" w:hAnsi="Courier New" w:hint="default"/>
      </w:rPr>
    </w:lvl>
    <w:lvl w:ilvl="8" w:tplc="3A4E3F02">
      <w:start w:val="1"/>
      <w:numFmt w:val="bullet"/>
      <w:lvlText w:val=""/>
      <w:lvlJc w:val="left"/>
      <w:pPr>
        <w:ind w:left="6480" w:hanging="360"/>
      </w:pPr>
      <w:rPr>
        <w:rFonts w:ascii="Wingdings" w:hAnsi="Wingdings" w:hint="default"/>
      </w:rPr>
    </w:lvl>
  </w:abstractNum>
  <w:abstractNum w:abstractNumId="7" w15:restartNumberingAfterBreak="0">
    <w:nsid w:val="74330B4F"/>
    <w:multiLevelType w:val="hybridMultilevel"/>
    <w:tmpl w:val="0504A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1477397">
    <w:abstractNumId w:val="0"/>
  </w:num>
  <w:num w:numId="2" w16cid:durableId="1414158696">
    <w:abstractNumId w:val="4"/>
  </w:num>
  <w:num w:numId="3" w16cid:durableId="594825122">
    <w:abstractNumId w:val="2"/>
  </w:num>
  <w:num w:numId="4" w16cid:durableId="534659437">
    <w:abstractNumId w:val="6"/>
  </w:num>
  <w:num w:numId="5" w16cid:durableId="2046906212">
    <w:abstractNumId w:val="5"/>
  </w:num>
  <w:num w:numId="6" w16cid:durableId="2075856138">
    <w:abstractNumId w:val="3"/>
  </w:num>
  <w:num w:numId="7" w16cid:durableId="267548855">
    <w:abstractNumId w:val="1"/>
  </w:num>
  <w:num w:numId="8" w16cid:durableId="18806258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141"/>
    <w:rsid w:val="0000445C"/>
    <w:rsid w:val="00016408"/>
    <w:rsid w:val="000212C7"/>
    <w:rsid w:val="00027C27"/>
    <w:rsid w:val="00046F54"/>
    <w:rsid w:val="00054EB2"/>
    <w:rsid w:val="00067A2E"/>
    <w:rsid w:val="000808B2"/>
    <w:rsid w:val="0009725E"/>
    <w:rsid w:val="000A5292"/>
    <w:rsid w:val="000A7B07"/>
    <w:rsid w:val="000B5A16"/>
    <w:rsid w:val="000C0CF4"/>
    <w:rsid w:val="000E6E15"/>
    <w:rsid w:val="00115757"/>
    <w:rsid w:val="00125C1A"/>
    <w:rsid w:val="00146B49"/>
    <w:rsid w:val="00172FBD"/>
    <w:rsid w:val="0017334F"/>
    <w:rsid w:val="001A73D1"/>
    <w:rsid w:val="001B2B90"/>
    <w:rsid w:val="001B5038"/>
    <w:rsid w:val="001C7E15"/>
    <w:rsid w:val="001D27C1"/>
    <w:rsid w:val="001F336C"/>
    <w:rsid w:val="00206834"/>
    <w:rsid w:val="00226431"/>
    <w:rsid w:val="00226457"/>
    <w:rsid w:val="00243B53"/>
    <w:rsid w:val="0025610B"/>
    <w:rsid w:val="00262AF5"/>
    <w:rsid w:val="00266B5C"/>
    <w:rsid w:val="00273EF4"/>
    <w:rsid w:val="002756E9"/>
    <w:rsid w:val="00281579"/>
    <w:rsid w:val="002A17C2"/>
    <w:rsid w:val="002B7BD2"/>
    <w:rsid w:val="002C3E5E"/>
    <w:rsid w:val="002D00A8"/>
    <w:rsid w:val="002D619F"/>
    <w:rsid w:val="002E528A"/>
    <w:rsid w:val="002E5729"/>
    <w:rsid w:val="002F0847"/>
    <w:rsid w:val="002F6E5C"/>
    <w:rsid w:val="00304AFE"/>
    <w:rsid w:val="00306C61"/>
    <w:rsid w:val="00317E80"/>
    <w:rsid w:val="00326E24"/>
    <w:rsid w:val="0033397F"/>
    <w:rsid w:val="003526DF"/>
    <w:rsid w:val="00360976"/>
    <w:rsid w:val="00360D8A"/>
    <w:rsid w:val="003656BB"/>
    <w:rsid w:val="0037582B"/>
    <w:rsid w:val="00382DAD"/>
    <w:rsid w:val="003B3388"/>
    <w:rsid w:val="003E0A2F"/>
    <w:rsid w:val="003E6555"/>
    <w:rsid w:val="003F4101"/>
    <w:rsid w:val="0040591E"/>
    <w:rsid w:val="004131D4"/>
    <w:rsid w:val="00416E31"/>
    <w:rsid w:val="0044612F"/>
    <w:rsid w:val="00462B99"/>
    <w:rsid w:val="00464BFE"/>
    <w:rsid w:val="00465782"/>
    <w:rsid w:val="00490F7D"/>
    <w:rsid w:val="004A5B97"/>
    <w:rsid w:val="004E6A87"/>
    <w:rsid w:val="004F35FC"/>
    <w:rsid w:val="005047D6"/>
    <w:rsid w:val="00507B19"/>
    <w:rsid w:val="00543D99"/>
    <w:rsid w:val="005575C8"/>
    <w:rsid w:val="00562B1D"/>
    <w:rsid w:val="005630B1"/>
    <w:rsid w:val="00563FAF"/>
    <w:rsid w:val="00564653"/>
    <w:rsid w:val="00566E50"/>
    <w:rsid w:val="00581C68"/>
    <w:rsid w:val="00583032"/>
    <w:rsid w:val="00595652"/>
    <w:rsid w:val="005A49EB"/>
    <w:rsid w:val="005B681B"/>
    <w:rsid w:val="005C2984"/>
    <w:rsid w:val="005C2C7D"/>
    <w:rsid w:val="005D3EE2"/>
    <w:rsid w:val="00622318"/>
    <w:rsid w:val="00627633"/>
    <w:rsid w:val="0064017F"/>
    <w:rsid w:val="00661F9F"/>
    <w:rsid w:val="00673B35"/>
    <w:rsid w:val="006763B5"/>
    <w:rsid w:val="006925DA"/>
    <w:rsid w:val="00695CA2"/>
    <w:rsid w:val="006979B8"/>
    <w:rsid w:val="006A63A8"/>
    <w:rsid w:val="006B1929"/>
    <w:rsid w:val="006C5120"/>
    <w:rsid w:val="006E2BCF"/>
    <w:rsid w:val="006F123B"/>
    <w:rsid w:val="00701C8C"/>
    <w:rsid w:val="00706C10"/>
    <w:rsid w:val="007112B0"/>
    <w:rsid w:val="007126E5"/>
    <w:rsid w:val="0072287E"/>
    <w:rsid w:val="007233CC"/>
    <w:rsid w:val="00747E11"/>
    <w:rsid w:val="00756B8C"/>
    <w:rsid w:val="0076348E"/>
    <w:rsid w:val="00770748"/>
    <w:rsid w:val="00784A56"/>
    <w:rsid w:val="007C0E53"/>
    <w:rsid w:val="007C1FD6"/>
    <w:rsid w:val="007C321F"/>
    <w:rsid w:val="007C598F"/>
    <w:rsid w:val="007D16E0"/>
    <w:rsid w:val="00841DBC"/>
    <w:rsid w:val="008458DF"/>
    <w:rsid w:val="00857548"/>
    <w:rsid w:val="008855A7"/>
    <w:rsid w:val="008A60A7"/>
    <w:rsid w:val="008B1EDD"/>
    <w:rsid w:val="008B3FA1"/>
    <w:rsid w:val="008C72B8"/>
    <w:rsid w:val="0090151C"/>
    <w:rsid w:val="00906C14"/>
    <w:rsid w:val="00913547"/>
    <w:rsid w:val="009173A2"/>
    <w:rsid w:val="009543F8"/>
    <w:rsid w:val="00963A6B"/>
    <w:rsid w:val="009721B8"/>
    <w:rsid w:val="00992D26"/>
    <w:rsid w:val="009B7615"/>
    <w:rsid w:val="009B7AA9"/>
    <w:rsid w:val="009D7D15"/>
    <w:rsid w:val="009E48EF"/>
    <w:rsid w:val="00A00D58"/>
    <w:rsid w:val="00A0517B"/>
    <w:rsid w:val="00A25618"/>
    <w:rsid w:val="00A278FB"/>
    <w:rsid w:val="00A3441E"/>
    <w:rsid w:val="00A47F26"/>
    <w:rsid w:val="00A91389"/>
    <w:rsid w:val="00AA76DD"/>
    <w:rsid w:val="00AC2B11"/>
    <w:rsid w:val="00AD398A"/>
    <w:rsid w:val="00AE5619"/>
    <w:rsid w:val="00AF68FA"/>
    <w:rsid w:val="00B0000B"/>
    <w:rsid w:val="00B32452"/>
    <w:rsid w:val="00B4308F"/>
    <w:rsid w:val="00B51BDC"/>
    <w:rsid w:val="00B561C0"/>
    <w:rsid w:val="00B603D9"/>
    <w:rsid w:val="00B605BC"/>
    <w:rsid w:val="00B63487"/>
    <w:rsid w:val="00B73073"/>
    <w:rsid w:val="00B73A23"/>
    <w:rsid w:val="00B766DA"/>
    <w:rsid w:val="00B773CE"/>
    <w:rsid w:val="00B773FF"/>
    <w:rsid w:val="00B866B1"/>
    <w:rsid w:val="00BA06E3"/>
    <w:rsid w:val="00BA35DB"/>
    <w:rsid w:val="00BC34C6"/>
    <w:rsid w:val="00BD26A3"/>
    <w:rsid w:val="00BE151B"/>
    <w:rsid w:val="00BF3007"/>
    <w:rsid w:val="00C41299"/>
    <w:rsid w:val="00C47AD2"/>
    <w:rsid w:val="00C551AB"/>
    <w:rsid w:val="00C609E6"/>
    <w:rsid w:val="00C6619B"/>
    <w:rsid w:val="00C67EAC"/>
    <w:rsid w:val="00C70992"/>
    <w:rsid w:val="00C8283A"/>
    <w:rsid w:val="00C91823"/>
    <w:rsid w:val="00CA17A8"/>
    <w:rsid w:val="00CA1FAA"/>
    <w:rsid w:val="00CA3B9D"/>
    <w:rsid w:val="00CA48A5"/>
    <w:rsid w:val="00CA733F"/>
    <w:rsid w:val="00CB1D48"/>
    <w:rsid w:val="00CB749D"/>
    <w:rsid w:val="00CC2B4D"/>
    <w:rsid w:val="00D008AB"/>
    <w:rsid w:val="00D37C86"/>
    <w:rsid w:val="00D42B30"/>
    <w:rsid w:val="00D444C3"/>
    <w:rsid w:val="00D51485"/>
    <w:rsid w:val="00D52B2C"/>
    <w:rsid w:val="00D53107"/>
    <w:rsid w:val="00D567A5"/>
    <w:rsid w:val="00D605DB"/>
    <w:rsid w:val="00D87141"/>
    <w:rsid w:val="00D936EF"/>
    <w:rsid w:val="00DA3541"/>
    <w:rsid w:val="00DA636E"/>
    <w:rsid w:val="00DC57E6"/>
    <w:rsid w:val="00DD5B7B"/>
    <w:rsid w:val="00DE222B"/>
    <w:rsid w:val="00DE52C1"/>
    <w:rsid w:val="00DF4D02"/>
    <w:rsid w:val="00E0184A"/>
    <w:rsid w:val="00E0480C"/>
    <w:rsid w:val="00E2333F"/>
    <w:rsid w:val="00E239F8"/>
    <w:rsid w:val="00E33A2A"/>
    <w:rsid w:val="00E33E1B"/>
    <w:rsid w:val="00E4516B"/>
    <w:rsid w:val="00E55807"/>
    <w:rsid w:val="00E5786D"/>
    <w:rsid w:val="00E8258B"/>
    <w:rsid w:val="00EA5832"/>
    <w:rsid w:val="00EA70EA"/>
    <w:rsid w:val="00EB465C"/>
    <w:rsid w:val="00EC0E34"/>
    <w:rsid w:val="00ED2288"/>
    <w:rsid w:val="00EE1E9C"/>
    <w:rsid w:val="00EE2698"/>
    <w:rsid w:val="00EE4D05"/>
    <w:rsid w:val="00EF4F73"/>
    <w:rsid w:val="00F03992"/>
    <w:rsid w:val="00F07635"/>
    <w:rsid w:val="00F301F7"/>
    <w:rsid w:val="00F4308B"/>
    <w:rsid w:val="00F50C6D"/>
    <w:rsid w:val="00F572BF"/>
    <w:rsid w:val="00F82F70"/>
    <w:rsid w:val="00F861CD"/>
    <w:rsid w:val="00F86C44"/>
    <w:rsid w:val="00F921B7"/>
    <w:rsid w:val="00F934F8"/>
    <w:rsid w:val="00FA4BC1"/>
    <w:rsid w:val="00FA78B2"/>
    <w:rsid w:val="00FC6856"/>
    <w:rsid w:val="00FF09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6F4EA"/>
  <w15:chartTrackingRefBased/>
  <w15:docId w15:val="{1C89DBD3-EF20-4B8D-A103-4B8121576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D87141"/>
    <w:pPr>
      <w:spacing w:after="240" w:line="288" w:lineRule="auto"/>
    </w:pPr>
    <w:rPr>
      <w:rFonts w:ascii="Arial" w:hAnsi="Arial" w:cs="Times New Roman"/>
      <w:kern w:val="0"/>
      <w:sz w:val="24"/>
      <w:szCs w:val="24"/>
      <w:lang w:eastAsia="en-GB"/>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ind w:left="2160"/>
    </w:pPr>
    <w:rPr>
      <w:kern w:val="24"/>
    </w:rPr>
  </w:style>
  <w:style w:type="paragraph" w:customStyle="1" w:styleId="Outline7">
    <w:name w:val="Outline7"/>
    <w:basedOn w:val="Normal"/>
    <w:next w:val="Normal"/>
    <w:rsid w:val="00C91823"/>
    <w:pPr>
      <w:ind w:left="720"/>
    </w:pPr>
    <w:rPr>
      <w:kern w:val="24"/>
    </w:rPr>
  </w:style>
  <w:style w:type="paragraph" w:customStyle="1" w:styleId="TitleText">
    <w:name w:val="TitleText"/>
    <w:basedOn w:val="Title"/>
    <w:link w:val="TitleTextChar"/>
    <w:unhideWhenUsed/>
    <w:qFormat/>
    <w:rsid w:val="00D87141"/>
    <w:pPr>
      <w:spacing w:before="120" w:after="240"/>
      <w:contextualSpacing w:val="0"/>
      <w:jc w:val="center"/>
    </w:pPr>
    <w:rPr>
      <w:rFonts w:ascii="Arial" w:eastAsia="Times New Roman" w:hAnsi="Arial" w:cs="Times New Roman"/>
      <w:b/>
      <w:color w:val="4472C4" w:themeColor="accent1"/>
      <w:spacing w:val="0"/>
      <w:kern w:val="0"/>
      <w:sz w:val="40"/>
      <w:szCs w:val="28"/>
    </w:rPr>
  </w:style>
  <w:style w:type="character" w:customStyle="1" w:styleId="TitleTextChar">
    <w:name w:val="TitleText Char"/>
    <w:link w:val="TitleText"/>
    <w:rsid w:val="00D87141"/>
    <w:rPr>
      <w:rFonts w:ascii="Arial" w:hAnsi="Arial" w:cs="Times New Roman"/>
      <w:b/>
      <w:color w:val="4472C4" w:themeColor="accent1"/>
      <w:kern w:val="0"/>
      <w:sz w:val="40"/>
      <w:szCs w:val="28"/>
      <w:lang w:eastAsia="en-GB"/>
      <w14:ligatures w14:val="none"/>
    </w:rPr>
  </w:style>
  <w:style w:type="paragraph" w:customStyle="1" w:styleId="SubtitleText">
    <w:name w:val="SubtitleText"/>
    <w:basedOn w:val="TitleText"/>
    <w:link w:val="SubtitleTextChar"/>
    <w:unhideWhenUsed/>
    <w:qFormat/>
    <w:rsid w:val="00D87141"/>
    <w:rPr>
      <w:sz w:val="36"/>
      <w:szCs w:val="24"/>
    </w:rPr>
  </w:style>
  <w:style w:type="character" w:customStyle="1" w:styleId="SubtitleTextChar">
    <w:name w:val="SubtitleText Char"/>
    <w:link w:val="SubtitleText"/>
    <w:rsid w:val="00D87141"/>
    <w:rPr>
      <w:rFonts w:ascii="Arial" w:hAnsi="Arial" w:cs="Times New Roman"/>
      <w:b/>
      <w:color w:val="4472C4" w:themeColor="accent1"/>
      <w:kern w:val="0"/>
      <w:sz w:val="36"/>
      <w:szCs w:val="24"/>
      <w:lang w:eastAsia="en-GB"/>
      <w14:ligatures w14:val="none"/>
    </w:rPr>
  </w:style>
  <w:style w:type="paragraph" w:styleId="ListBullet5">
    <w:name w:val="List Bullet 5"/>
    <w:basedOn w:val="Normal"/>
    <w:rsid w:val="00D87141"/>
    <w:pPr>
      <w:numPr>
        <w:numId w:val="1"/>
      </w:numPr>
      <w:contextualSpacing/>
    </w:pPr>
  </w:style>
  <w:style w:type="paragraph" w:customStyle="1" w:styleId="Dates">
    <w:name w:val="Dates"/>
    <w:basedOn w:val="SubtitleText"/>
    <w:link w:val="DatesChar"/>
    <w:qFormat/>
    <w:rsid w:val="00D87141"/>
    <w:pPr>
      <w:spacing w:before="0" w:after="120"/>
      <w:jc w:val="left"/>
    </w:pPr>
    <w:rPr>
      <w:color w:val="FFC000" w:themeColor="accent4"/>
      <w:sz w:val="32"/>
      <w:szCs w:val="36"/>
    </w:rPr>
  </w:style>
  <w:style w:type="character" w:customStyle="1" w:styleId="DatesChar">
    <w:name w:val="Dates Char"/>
    <w:basedOn w:val="DefaultParagraphFont"/>
    <w:link w:val="Dates"/>
    <w:rsid w:val="00D87141"/>
    <w:rPr>
      <w:rFonts w:ascii="Arial" w:hAnsi="Arial" w:cs="Times New Roman"/>
      <w:b/>
      <w:color w:val="FFC000" w:themeColor="accent4"/>
      <w:kern w:val="0"/>
      <w:sz w:val="32"/>
      <w:szCs w:val="36"/>
      <w:lang w:eastAsia="en-GB"/>
      <w14:ligatures w14:val="none"/>
    </w:rPr>
  </w:style>
  <w:style w:type="paragraph" w:styleId="Title">
    <w:name w:val="Title"/>
    <w:basedOn w:val="Normal"/>
    <w:next w:val="Normal"/>
    <w:link w:val="TitleChar"/>
    <w:uiPriority w:val="10"/>
    <w:qFormat/>
    <w:rsid w:val="00D871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141"/>
    <w:rPr>
      <w:rFonts w:asciiTheme="majorHAnsi" w:eastAsiaTheme="majorEastAsia" w:hAnsiTheme="majorHAnsi" w:cstheme="majorBidi"/>
      <w:spacing w:val="-10"/>
      <w:kern w:val="28"/>
      <w:sz w:val="56"/>
      <w:szCs w:val="56"/>
      <w:lang w:eastAsia="en-GB"/>
      <w14:ligatures w14:val="none"/>
    </w:rPr>
  </w:style>
  <w:style w:type="character" w:styleId="Hyperlink">
    <w:name w:val="Hyperlink"/>
    <w:uiPriority w:val="99"/>
    <w:unhideWhenUsed/>
    <w:qFormat/>
    <w:rsid w:val="004A5B97"/>
    <w:rPr>
      <w:color w:val="0000FF"/>
      <w:u w:val="single"/>
    </w:rPr>
  </w:style>
  <w:style w:type="paragraph" w:styleId="ListParagraph">
    <w:name w:val="List Paragraph"/>
    <w:basedOn w:val="Normal"/>
    <w:uiPriority w:val="34"/>
    <w:qFormat/>
    <w:rsid w:val="004A5B97"/>
    <w:pPr>
      <w:numPr>
        <w:ilvl w:val="1"/>
        <w:numId w:val="2"/>
      </w:numPr>
      <w:spacing w:after="120"/>
    </w:pPr>
    <w:rPr>
      <w:color w:val="000000" w:themeColor="text1"/>
    </w:rPr>
  </w:style>
  <w:style w:type="paragraph" w:customStyle="1" w:styleId="paragraph">
    <w:name w:val="paragraph"/>
    <w:basedOn w:val="Normal"/>
    <w:rsid w:val="005C2C7D"/>
    <w:pPr>
      <w:spacing w:before="100" w:beforeAutospacing="1" w:after="100" w:afterAutospacing="1" w:line="240" w:lineRule="auto"/>
    </w:pPr>
    <w:rPr>
      <w:rFonts w:ascii="Times New Roman" w:hAnsi="Times New Roman"/>
    </w:rPr>
  </w:style>
  <w:style w:type="table" w:styleId="TableGrid">
    <w:name w:val="Table Grid"/>
    <w:basedOn w:val="TableNormal"/>
    <w:rsid w:val="00F86C44"/>
    <w:rPr>
      <w:rFonts w:ascii="Arial"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basedOn w:val="Normal"/>
    <w:qFormat/>
    <w:rsid w:val="00F86C44"/>
    <w:pPr>
      <w:spacing w:before="100" w:after="100"/>
      <w:jc w:val="center"/>
    </w:pPr>
    <w:rPr>
      <w:b/>
    </w:rPr>
  </w:style>
  <w:style w:type="paragraph" w:customStyle="1" w:styleId="TableRow">
    <w:name w:val="TableRow"/>
    <w:basedOn w:val="Normal"/>
    <w:link w:val="TableRowChar"/>
    <w:qFormat/>
    <w:rsid w:val="00F86C44"/>
    <w:pPr>
      <w:spacing w:before="40" w:after="40"/>
    </w:pPr>
  </w:style>
  <w:style w:type="character" w:customStyle="1" w:styleId="TableRowChar">
    <w:name w:val="TableRow Char"/>
    <w:link w:val="TableRow"/>
    <w:rsid w:val="00F86C44"/>
    <w:rPr>
      <w:rFonts w:ascii="Arial" w:hAnsi="Arial" w:cs="Times New Roman"/>
      <w:kern w:val="0"/>
      <w:sz w:val="24"/>
      <w:szCs w:val="24"/>
      <w:lang w:eastAsia="en-GB"/>
      <w14:ligatures w14:val="none"/>
    </w:rPr>
  </w:style>
  <w:style w:type="paragraph" w:styleId="NormalWeb">
    <w:name w:val="Normal (Web)"/>
    <w:basedOn w:val="Normal"/>
    <w:uiPriority w:val="99"/>
    <w:unhideWhenUsed/>
    <w:rsid w:val="00F86C44"/>
    <w:rPr>
      <w:rFonts w:ascii="Times New Roman" w:hAnsi="Times New Roman"/>
    </w:rPr>
  </w:style>
  <w:style w:type="character" w:styleId="CommentReference">
    <w:name w:val="annotation reference"/>
    <w:basedOn w:val="DefaultParagraphFont"/>
    <w:uiPriority w:val="99"/>
    <w:semiHidden/>
    <w:unhideWhenUsed/>
    <w:rsid w:val="00A00D58"/>
    <w:rPr>
      <w:sz w:val="16"/>
      <w:szCs w:val="16"/>
    </w:rPr>
  </w:style>
  <w:style w:type="paragraph" w:styleId="CommentText">
    <w:name w:val="annotation text"/>
    <w:basedOn w:val="Normal"/>
    <w:link w:val="CommentTextChar"/>
    <w:uiPriority w:val="99"/>
    <w:unhideWhenUsed/>
    <w:rsid w:val="00A00D58"/>
    <w:pPr>
      <w:spacing w:line="240" w:lineRule="auto"/>
    </w:pPr>
    <w:rPr>
      <w:sz w:val="20"/>
      <w:szCs w:val="20"/>
    </w:rPr>
  </w:style>
  <w:style w:type="character" w:customStyle="1" w:styleId="CommentTextChar">
    <w:name w:val="Comment Text Char"/>
    <w:basedOn w:val="DefaultParagraphFont"/>
    <w:link w:val="CommentText"/>
    <w:uiPriority w:val="99"/>
    <w:rsid w:val="00A00D58"/>
    <w:rPr>
      <w:rFonts w:ascii="Arial"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A00D58"/>
    <w:rPr>
      <w:b/>
      <w:bCs/>
    </w:rPr>
  </w:style>
  <w:style w:type="character" w:customStyle="1" w:styleId="CommentSubjectChar">
    <w:name w:val="Comment Subject Char"/>
    <w:basedOn w:val="CommentTextChar"/>
    <w:link w:val="CommentSubject"/>
    <w:uiPriority w:val="99"/>
    <w:semiHidden/>
    <w:rsid w:val="00A00D58"/>
    <w:rPr>
      <w:rFonts w:ascii="Arial" w:hAnsi="Arial" w:cs="Times New Roman"/>
      <w:b/>
      <w:bCs/>
      <w:kern w:val="0"/>
      <w:sz w:val="20"/>
      <w:szCs w:val="20"/>
      <w:lang w:eastAsia="en-GB"/>
      <w14:ligatures w14:val="none"/>
    </w:rPr>
  </w:style>
  <w:style w:type="paragraph" w:styleId="Revision">
    <w:name w:val="Revision"/>
    <w:hidden/>
    <w:uiPriority w:val="99"/>
    <w:semiHidden/>
    <w:rsid w:val="00226431"/>
    <w:rPr>
      <w:rFonts w:ascii="Arial" w:hAnsi="Arial"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B773FF"/>
    <w:rPr>
      <w:color w:val="605E5C"/>
      <w:shd w:val="clear" w:color="auto" w:fill="E1DFDD"/>
    </w:rPr>
  </w:style>
  <w:style w:type="character" w:styleId="FollowedHyperlink">
    <w:name w:val="FollowedHyperlink"/>
    <w:basedOn w:val="DefaultParagraphFont"/>
    <w:uiPriority w:val="99"/>
    <w:semiHidden/>
    <w:unhideWhenUsed/>
    <w:rsid w:val="00913547"/>
    <w:rPr>
      <w:color w:val="954F72" w:themeColor="followedHyperlink"/>
      <w:u w:val="single"/>
    </w:rPr>
  </w:style>
  <w:style w:type="character" w:customStyle="1" w:styleId="cf01">
    <w:name w:val="cf01"/>
    <w:basedOn w:val="DefaultParagraphFont"/>
    <w:rsid w:val="00F4308B"/>
    <w:rPr>
      <w:rFonts w:ascii="Segoe UI" w:hAnsi="Segoe UI" w:cs="Segoe UI" w:hint="default"/>
      <w:sz w:val="18"/>
      <w:szCs w:val="18"/>
    </w:rPr>
  </w:style>
  <w:style w:type="character" w:customStyle="1" w:styleId="cf11">
    <w:name w:val="cf11"/>
    <w:basedOn w:val="DefaultParagraphFont"/>
    <w:rsid w:val="00F4308B"/>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0655">
      <w:bodyDiv w:val="1"/>
      <w:marLeft w:val="0"/>
      <w:marRight w:val="0"/>
      <w:marTop w:val="0"/>
      <w:marBottom w:val="0"/>
      <w:divBdr>
        <w:top w:val="none" w:sz="0" w:space="0" w:color="auto"/>
        <w:left w:val="none" w:sz="0" w:space="0" w:color="auto"/>
        <w:bottom w:val="none" w:sz="0" w:space="0" w:color="auto"/>
        <w:right w:val="none" w:sz="0" w:space="0" w:color="auto"/>
      </w:divBdr>
    </w:div>
    <w:div w:id="457575477">
      <w:bodyDiv w:val="1"/>
      <w:marLeft w:val="0"/>
      <w:marRight w:val="0"/>
      <w:marTop w:val="0"/>
      <w:marBottom w:val="0"/>
      <w:divBdr>
        <w:top w:val="none" w:sz="0" w:space="0" w:color="auto"/>
        <w:left w:val="none" w:sz="0" w:space="0" w:color="auto"/>
        <w:bottom w:val="none" w:sz="0" w:space="0" w:color="auto"/>
        <w:right w:val="none" w:sz="0" w:space="0" w:color="auto"/>
      </w:divBdr>
    </w:div>
    <w:div w:id="982857792">
      <w:bodyDiv w:val="1"/>
      <w:marLeft w:val="0"/>
      <w:marRight w:val="0"/>
      <w:marTop w:val="0"/>
      <w:marBottom w:val="0"/>
      <w:divBdr>
        <w:top w:val="none" w:sz="0" w:space="0" w:color="auto"/>
        <w:left w:val="none" w:sz="0" w:space="0" w:color="auto"/>
        <w:bottom w:val="none" w:sz="0" w:space="0" w:color="auto"/>
        <w:right w:val="none" w:sz="0" w:space="0" w:color="auto"/>
      </w:divBdr>
    </w:div>
    <w:div w:id="1360740670">
      <w:bodyDiv w:val="1"/>
      <w:marLeft w:val="0"/>
      <w:marRight w:val="0"/>
      <w:marTop w:val="0"/>
      <w:marBottom w:val="0"/>
      <w:divBdr>
        <w:top w:val="none" w:sz="0" w:space="0" w:color="auto"/>
        <w:left w:val="none" w:sz="0" w:space="0" w:color="auto"/>
        <w:bottom w:val="none" w:sz="0" w:space="0" w:color="auto"/>
        <w:right w:val="none" w:sz="0" w:space="0" w:color="auto"/>
      </w:divBdr>
    </w:div>
    <w:div w:id="1532380133">
      <w:bodyDiv w:val="1"/>
      <w:marLeft w:val="0"/>
      <w:marRight w:val="0"/>
      <w:marTop w:val="0"/>
      <w:marBottom w:val="0"/>
      <w:divBdr>
        <w:top w:val="none" w:sz="0" w:space="0" w:color="auto"/>
        <w:left w:val="none" w:sz="0" w:space="0" w:color="auto"/>
        <w:bottom w:val="none" w:sz="0" w:space="0" w:color="auto"/>
        <w:right w:val="none" w:sz="0" w:space="0" w:color="auto"/>
      </w:divBdr>
    </w:div>
    <w:div w:id="169924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customXml" Target="/customXML/item4.xml" Id="R78ff16356b8a44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53D26341A57B383EE0540010E0463CCA" version="1.0.0">
  <systemFields>
    <field name="Objective-Id">
      <value order="0">A44759559</value>
    </field>
    <field name="Objective-Title">
      <value order="0">Regulated Products - Second Tranche - Feed Additives - Annex B: Consultation Summary - 06 September 2023</value>
    </field>
    <field name="Objective-Description">
      <value order="0"/>
    </field>
    <field name="Objective-CreationStamp">
      <value order="0">2023-08-04T14:05:48Z</value>
    </field>
    <field name="Objective-IsApproved">
      <value order="0">false</value>
    </field>
    <field name="Objective-IsPublished">
      <value order="0">false</value>
    </field>
    <field name="Objective-DatePublished">
      <value order="0"/>
    </field>
    <field name="Objective-ModificationStamp">
      <value order="0">2023-09-06T11:30:18Z</value>
    </field>
    <field name="Objective-Owner">
      <value order="0">Kemp, Leigh-Anne (U451543)</value>
    </field>
    <field name="Objective-Path">
      <value order="0">Objective Global Folder:Food Standards Scotland File Plan:Health, Nutrition and Care:Food and Drink:Food Safety:Advice and Policy: Food Safety (Food Standards Scotland):Regulatory Policy: Regulated Products: 2019 -2024</value>
    </field>
    <field name="Objective-Parent">
      <value order="0">Regulatory Policy: Regulated Products: 2019 -2024</value>
    </field>
    <field name="Objective-State">
      <value order="0">Being Drafted</value>
    </field>
    <field name="Objective-VersionId">
      <value order="0">vA67551654</value>
    </field>
    <field name="Objective-Version">
      <value order="0">13.5</value>
    </field>
    <field name="Objective-VersionNumber">
      <value order="0">24</value>
    </field>
    <field name="Objective-VersionComment">
      <value order="0"/>
    </field>
    <field name="Objective-FileNumber">
      <value order="0">POL/33342</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7D1998B-621A-458E-A34B-E4E62EA3D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2049</TotalTime>
  <Pages>10</Pages>
  <Words>1396</Words>
  <Characters>7961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u451543</dc:creator>
  <cp:keywords/>
  <dc:description/>
  <cp:lastModifiedBy>Matthew Mullen</cp:lastModifiedBy>
  <cp:revision>49</cp:revision>
  <dcterms:created xsi:type="dcterms:W3CDTF">2023-08-03T09:32:00Z</dcterms:created>
  <dcterms:modified xsi:type="dcterms:W3CDTF">2023-08-21T10:53:00Z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A44759559</vt:lpwstr>
  </property>
  <property fmtid="{D5CDD505-2E9C-101B-9397-08002B2CF9AE}" pid="4" name="Objective-Title">
    <vt:lpwstr>Regulated Products - Second Tranche - Feed Additives - Annex B: Consultation Summary - 06 September 2023</vt:lpwstr>
  </property>
  <property fmtid="{D5CDD505-2E9C-101B-9397-08002B2CF9AE}" pid="5" name="Objective-Description">
    <vt:lpwstr/>
  </property>
  <property fmtid="{D5CDD505-2E9C-101B-9397-08002B2CF9AE}" pid="6" name="Objective-CreationStamp">
    <vt:filetime>2023-08-04T14:05:48Z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2023-09-06T11:30:18Z</vt:filetime>
  </property>
  <property fmtid="{D5CDD505-2E9C-101B-9397-08002B2CF9AE}" pid="11" name="Objective-Owner">
    <vt:lpwstr>Kemp, Leigh-Anne (U451543)</vt:lpwstr>
  </property>
  <property fmtid="{D5CDD505-2E9C-101B-9397-08002B2CF9AE}" pid="12" name="Objective-Path">
    <vt:lpwstr>Objective Global Folder:Food Standards Scotland File Plan:Health, Nutrition and Care:Food and Drink:Food Safety:Advice and Policy: Food Safety (Food Standards Scotland):Regulatory Policy: Regulated Products: 2019 -2024</vt:lpwstr>
  </property>
  <property fmtid="{D5CDD505-2E9C-101B-9397-08002B2CF9AE}" pid="13" name="Objective-Parent">
    <vt:lpwstr>Regulatory Policy: Regulated Products: 2019 -2024</vt:lpwstr>
  </property>
  <property fmtid="{D5CDD505-2E9C-101B-9397-08002B2CF9AE}" pid="14" name="Objective-State">
    <vt:lpwstr>Being Drafted</vt:lpwstr>
  </property>
  <property fmtid="{D5CDD505-2E9C-101B-9397-08002B2CF9AE}" pid="15" name="Objective-VersionId">
    <vt:lpwstr>vA67551654</vt:lpwstr>
  </property>
  <property fmtid="{D5CDD505-2E9C-101B-9397-08002B2CF9AE}" pid="16" name="Objective-Version">
    <vt:lpwstr>13.5</vt:lpwstr>
  </property>
  <property fmtid="{D5CDD505-2E9C-101B-9397-08002B2CF9AE}" pid="17" name="Objective-VersionNumber">
    <vt:r8>24</vt:r8>
  </property>
  <property fmtid="{D5CDD505-2E9C-101B-9397-08002B2CF9AE}" pid="18" name="Objective-VersionComment">
    <vt:lpwstr/>
  </property>
  <property fmtid="{D5CDD505-2E9C-101B-9397-08002B2CF9AE}" pid="19" name="Objective-FileNumber">
    <vt:lpwstr>POL/33342</vt:lpwstr>
  </property>
  <property fmtid="{D5CDD505-2E9C-101B-9397-08002B2CF9AE}" pid="20" name="Objective-Classification">
    <vt:lpwstr>OFFICIAL</vt:lpwstr>
  </property>
  <property fmtid="{D5CDD505-2E9C-101B-9397-08002B2CF9AE}" pid="21" name="Objective-Caveats">
    <vt:lpwstr>Caveat for access to Food Standards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