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11" w:rsidRDefault="00A04D11">
      <w:pPr>
        <w:pStyle w:val="Heading3"/>
        <w:tabs>
          <w:tab w:val="left" w:pos="720"/>
        </w:tabs>
        <w:rPr>
          <w:color w:val="000000"/>
          <w:lang w:val="en-US"/>
        </w:rPr>
      </w:pPr>
    </w:p>
    <w:p w:rsidR="00A04D11" w:rsidRDefault="00A04D11">
      <w:pPr>
        <w:rPr>
          <w:rFonts w:ascii="Arial" w:hAnsi="Arial"/>
        </w:rPr>
      </w:pPr>
    </w:p>
    <w:p w:rsidR="00A04D11" w:rsidRDefault="00A04D11">
      <w:pPr>
        <w:tabs>
          <w:tab w:val="left" w:pos="-720"/>
        </w:tabs>
        <w:suppressAutoHyphens/>
        <w:rPr>
          <w:rFonts w:ascii="Arial" w:hAnsi="Arial"/>
          <w:color w:val="000000"/>
          <w:sz w:val="28"/>
        </w:rPr>
      </w:pPr>
    </w:p>
    <w:p w:rsidR="00A04D11" w:rsidRDefault="00A04D11">
      <w:pPr>
        <w:tabs>
          <w:tab w:val="left" w:pos="-720"/>
        </w:tabs>
        <w:suppressAutoHyphens/>
        <w:rPr>
          <w:rFonts w:ascii="Arial" w:hAnsi="Arial"/>
          <w:color w:val="000000"/>
          <w:sz w:val="28"/>
        </w:rPr>
      </w:pPr>
    </w:p>
    <w:p w:rsidR="00A04D11" w:rsidRDefault="00A04D11">
      <w:pPr>
        <w:tabs>
          <w:tab w:val="left" w:pos="-720"/>
        </w:tabs>
        <w:suppressAutoHyphens/>
        <w:rPr>
          <w:rFonts w:ascii="Arial" w:hAnsi="Arial"/>
          <w:color w:val="000000"/>
          <w:sz w:val="28"/>
        </w:rPr>
      </w:pPr>
    </w:p>
    <w:p w:rsidR="00A04D11" w:rsidRDefault="00A04D11">
      <w:pPr>
        <w:tabs>
          <w:tab w:val="left" w:pos="-720"/>
        </w:tabs>
        <w:suppressAutoHyphens/>
        <w:rPr>
          <w:rFonts w:ascii="Arial" w:hAnsi="Arial"/>
          <w:color w:val="000000"/>
          <w:sz w:val="28"/>
        </w:rPr>
      </w:pPr>
    </w:p>
    <w:tbl>
      <w:tblPr>
        <w:tblW w:w="9185" w:type="dxa"/>
        <w:tblLayout w:type="fixed"/>
        <w:tblCellMar>
          <w:top w:w="284" w:type="dxa"/>
          <w:bottom w:w="284" w:type="dxa"/>
        </w:tblCellMar>
        <w:tblLook w:val="01E0" w:firstRow="1" w:lastRow="1" w:firstColumn="1" w:lastColumn="1" w:noHBand="0" w:noVBand="0"/>
      </w:tblPr>
      <w:tblGrid>
        <w:gridCol w:w="1954"/>
        <w:gridCol w:w="5277"/>
        <w:gridCol w:w="1954"/>
      </w:tblGrid>
      <w:tr w:rsidR="00BD22B9" w:rsidRPr="00BA1495" w:rsidTr="00BD22B9">
        <w:tc>
          <w:tcPr>
            <w:tcW w:w="1134" w:type="dxa"/>
          </w:tcPr>
          <w:p w:rsidR="00BD22B9" w:rsidRPr="00BA1495" w:rsidRDefault="00BD22B9" w:rsidP="00BD22B9">
            <w:pPr>
              <w:pStyle w:val="TableText"/>
            </w:pPr>
          </w:p>
        </w:tc>
        <w:tc>
          <w:tcPr>
            <w:tcW w:w="3062" w:type="dxa"/>
            <w:tcBorders>
              <w:bottom w:val="single" w:sz="4" w:space="0" w:color="auto"/>
            </w:tcBorders>
          </w:tcPr>
          <w:p w:rsidR="00BD22B9" w:rsidRPr="00BA1495" w:rsidRDefault="00BD22B9" w:rsidP="00BD22B9">
            <w:pPr>
              <w:pStyle w:val="TableText"/>
              <w:rPr>
                <w:rFonts w:cs="Arial"/>
                <w:sz w:val="44"/>
                <w:szCs w:val="44"/>
              </w:rPr>
            </w:pPr>
          </w:p>
        </w:tc>
        <w:tc>
          <w:tcPr>
            <w:tcW w:w="1134" w:type="dxa"/>
          </w:tcPr>
          <w:p w:rsidR="00BD22B9" w:rsidRPr="00BA1495" w:rsidRDefault="00BD22B9" w:rsidP="00BD22B9">
            <w:pPr>
              <w:pStyle w:val="TableText"/>
              <w:rPr>
                <w:rFonts w:cs="Arial"/>
                <w:sz w:val="44"/>
                <w:szCs w:val="44"/>
              </w:rPr>
            </w:pPr>
          </w:p>
        </w:tc>
      </w:tr>
      <w:tr w:rsidR="00BD22B9" w:rsidRPr="00BA1495" w:rsidTr="00BD22B9">
        <w:tc>
          <w:tcPr>
            <w:tcW w:w="1134" w:type="dxa"/>
          </w:tcPr>
          <w:p w:rsidR="00BD22B9" w:rsidRPr="00BA1495" w:rsidRDefault="00BD22B9" w:rsidP="00BD22B9">
            <w:pPr>
              <w:pStyle w:val="TableText"/>
            </w:pPr>
          </w:p>
        </w:tc>
        <w:tc>
          <w:tcPr>
            <w:tcW w:w="3062" w:type="dxa"/>
            <w:tcBorders>
              <w:bottom w:val="single" w:sz="4" w:space="0" w:color="auto"/>
            </w:tcBorders>
          </w:tcPr>
          <w:p w:rsidR="00BD22B9" w:rsidRDefault="00BD22B9" w:rsidP="00BD22B9">
            <w:pPr>
              <w:pStyle w:val="Title"/>
            </w:pPr>
            <w:r>
              <w:t>MANAGING SHELLFISH TOXIN RISKS IN THE SCALLOP SECTOR</w:t>
            </w:r>
          </w:p>
          <w:p w:rsidR="00BD22B9" w:rsidRPr="00935437" w:rsidRDefault="00BD22B9" w:rsidP="00BD22B9">
            <w:pPr>
              <w:rPr>
                <w:rFonts w:ascii="Arial" w:hAnsi="Arial" w:cs="Arial"/>
              </w:rPr>
            </w:pPr>
            <w:r w:rsidRPr="00935437">
              <w:rPr>
                <w:rFonts w:ascii="Arial" w:hAnsi="Arial" w:cs="Arial"/>
              </w:rPr>
              <w:t xml:space="preserve">GUIDANCE FOR ENFORCEMENT OFFICERS </w:t>
            </w:r>
            <w:r w:rsidR="003123A5">
              <w:rPr>
                <w:rFonts w:ascii="Arial" w:hAnsi="Arial" w:cs="Arial"/>
              </w:rPr>
              <w:t xml:space="preserve">SHELLFISH HARVESTERS </w:t>
            </w:r>
            <w:r w:rsidRPr="00935437">
              <w:rPr>
                <w:rFonts w:ascii="Arial" w:hAnsi="Arial" w:cs="Arial"/>
              </w:rPr>
              <w:t xml:space="preserve">AND </w:t>
            </w:r>
            <w:r w:rsidR="003123A5">
              <w:rPr>
                <w:rFonts w:ascii="Arial" w:hAnsi="Arial" w:cs="Arial"/>
              </w:rPr>
              <w:t xml:space="preserve">SHELLFISH </w:t>
            </w:r>
            <w:r w:rsidRPr="00935437">
              <w:rPr>
                <w:rFonts w:ascii="Arial" w:hAnsi="Arial" w:cs="Arial"/>
              </w:rPr>
              <w:t>BUSINESS</w:t>
            </w:r>
            <w:r w:rsidR="003123A5">
              <w:rPr>
                <w:rFonts w:ascii="Arial" w:hAnsi="Arial" w:cs="Arial"/>
              </w:rPr>
              <w:t>ES</w:t>
            </w:r>
          </w:p>
          <w:p w:rsidR="00BD22B9" w:rsidRPr="00497552" w:rsidRDefault="00BD22B9" w:rsidP="00BD22B9"/>
        </w:tc>
        <w:tc>
          <w:tcPr>
            <w:tcW w:w="1134" w:type="dxa"/>
          </w:tcPr>
          <w:p w:rsidR="00BD22B9" w:rsidRPr="00761EFC" w:rsidRDefault="00BD22B9" w:rsidP="00BD22B9">
            <w:pPr>
              <w:pStyle w:val="TableText"/>
              <w:rPr>
                <w:rFonts w:cs="Arial"/>
                <w:b/>
                <w:sz w:val="44"/>
                <w:szCs w:val="44"/>
              </w:rPr>
            </w:pPr>
          </w:p>
        </w:tc>
      </w:tr>
      <w:tr w:rsidR="00BD22B9" w:rsidRPr="00BA1495" w:rsidTr="00BD22B9">
        <w:tc>
          <w:tcPr>
            <w:tcW w:w="1134" w:type="dxa"/>
          </w:tcPr>
          <w:p w:rsidR="00BD22B9" w:rsidRPr="00BA1495" w:rsidRDefault="00BD22B9" w:rsidP="00BD22B9">
            <w:pPr>
              <w:pStyle w:val="TableText"/>
              <w:rPr>
                <w:b/>
              </w:rPr>
            </w:pPr>
          </w:p>
        </w:tc>
        <w:tc>
          <w:tcPr>
            <w:tcW w:w="3062" w:type="dxa"/>
            <w:tcBorders>
              <w:top w:val="single" w:sz="4" w:space="0" w:color="auto"/>
            </w:tcBorders>
          </w:tcPr>
          <w:p w:rsidR="00BD22B9" w:rsidRPr="00BA1495" w:rsidRDefault="005D408B" w:rsidP="005D408B">
            <w:pPr>
              <w:pStyle w:val="TableText"/>
              <w:rPr>
                <w:rFonts w:cs="Arial"/>
                <w:sz w:val="44"/>
                <w:szCs w:val="44"/>
              </w:rPr>
            </w:pPr>
            <w:r>
              <w:rPr>
                <w:rFonts w:cs="Arial"/>
                <w:sz w:val="44"/>
                <w:szCs w:val="44"/>
              </w:rPr>
              <w:t xml:space="preserve">February </w:t>
            </w:r>
            <w:r w:rsidR="00BD22B9">
              <w:rPr>
                <w:rFonts w:cs="Arial"/>
                <w:sz w:val="44"/>
                <w:szCs w:val="44"/>
              </w:rPr>
              <w:t>201</w:t>
            </w:r>
            <w:r>
              <w:rPr>
                <w:rFonts w:cs="Arial"/>
                <w:sz w:val="44"/>
                <w:szCs w:val="44"/>
              </w:rPr>
              <w:t>7</w:t>
            </w:r>
          </w:p>
        </w:tc>
        <w:tc>
          <w:tcPr>
            <w:tcW w:w="1134" w:type="dxa"/>
          </w:tcPr>
          <w:p w:rsidR="00BD22B9" w:rsidRDefault="00BD22B9" w:rsidP="00BD22B9">
            <w:pPr>
              <w:pStyle w:val="TableText"/>
              <w:rPr>
                <w:rFonts w:cs="Arial"/>
                <w:sz w:val="44"/>
                <w:szCs w:val="44"/>
              </w:rPr>
            </w:pPr>
          </w:p>
        </w:tc>
      </w:tr>
    </w:tbl>
    <w:p w:rsidR="00BD22B9" w:rsidRPr="00BA1495" w:rsidRDefault="00BD22B9" w:rsidP="00BD22B9">
      <w:pPr>
        <w:pStyle w:val="BodyText"/>
      </w:pPr>
    </w:p>
    <w:p w:rsidR="00BD22B9" w:rsidRDefault="00BD22B9" w:rsidP="00BD22B9">
      <w:pPr>
        <w:autoSpaceDE w:val="0"/>
        <w:autoSpaceDN w:val="0"/>
        <w:adjustRightInd w:val="0"/>
        <w:rPr>
          <w:rFonts w:ascii="Arial" w:hAnsi="Arial" w:cs="Arial"/>
          <w:b/>
          <w:color w:val="000000"/>
          <w:sz w:val="28"/>
          <w:szCs w:val="28"/>
        </w:rPr>
      </w:pPr>
      <w:r w:rsidRPr="00935437">
        <w:rPr>
          <w:rFonts w:ascii="Arial" w:hAnsi="Arial" w:cs="Arial"/>
          <w:b/>
          <w:color w:val="000000"/>
          <w:sz w:val="28"/>
          <w:szCs w:val="28"/>
        </w:rPr>
        <w:t>For all queries about this guidance —please use the number below.</w:t>
      </w:r>
    </w:p>
    <w:p w:rsidR="00546667" w:rsidRDefault="00546667" w:rsidP="00BD22B9">
      <w:pPr>
        <w:autoSpaceDE w:val="0"/>
        <w:autoSpaceDN w:val="0"/>
        <w:adjustRightInd w:val="0"/>
        <w:rPr>
          <w:rFonts w:ascii="Arial" w:hAnsi="Arial" w:cs="Arial"/>
          <w:b/>
          <w:color w:val="000000"/>
          <w:sz w:val="28"/>
          <w:szCs w:val="28"/>
        </w:rPr>
      </w:pPr>
    </w:p>
    <w:p w:rsidR="00546667" w:rsidRDefault="00546667" w:rsidP="00BD22B9">
      <w:pPr>
        <w:autoSpaceDE w:val="0"/>
        <w:autoSpaceDN w:val="0"/>
        <w:adjustRightInd w:val="0"/>
        <w:rPr>
          <w:rFonts w:ascii="Arial" w:hAnsi="Arial" w:cs="Arial"/>
          <w:b/>
          <w:color w:val="000000"/>
          <w:sz w:val="28"/>
          <w:szCs w:val="28"/>
        </w:rPr>
      </w:pPr>
    </w:p>
    <w:p w:rsidR="00546667" w:rsidRPr="00935437" w:rsidRDefault="00546667" w:rsidP="00BD22B9">
      <w:pPr>
        <w:autoSpaceDE w:val="0"/>
        <w:autoSpaceDN w:val="0"/>
        <w:adjustRightInd w:val="0"/>
        <w:rPr>
          <w:rFonts w:ascii="Arial" w:hAnsi="Arial" w:cs="Arial"/>
          <w:b/>
          <w:color w:val="000000"/>
          <w:sz w:val="28"/>
          <w:szCs w:val="28"/>
        </w:rPr>
      </w:pPr>
    </w:p>
    <w:p w:rsidR="00BD22B9" w:rsidRPr="008E2D66" w:rsidRDefault="00BD22B9" w:rsidP="00BD22B9">
      <w:pPr>
        <w:pStyle w:val="BodyText"/>
        <w:rPr>
          <w:rFonts w:cs="Arial"/>
        </w:rPr>
      </w:pPr>
    </w:p>
    <w:tbl>
      <w:tblPr>
        <w:tblW w:w="8049" w:type="dxa"/>
        <w:tblInd w:w="1648" w:type="dxa"/>
        <w:tblLook w:val="01E0" w:firstRow="1" w:lastRow="1" w:firstColumn="1" w:lastColumn="1" w:noHBand="0" w:noVBand="0"/>
      </w:tblPr>
      <w:tblGrid>
        <w:gridCol w:w="4098"/>
        <w:gridCol w:w="3951"/>
      </w:tblGrid>
      <w:tr w:rsidR="00BD22B9" w:rsidRPr="00935437" w:rsidTr="00BD22B9">
        <w:trPr>
          <w:trHeight w:val="951"/>
        </w:trPr>
        <w:tc>
          <w:tcPr>
            <w:tcW w:w="4098" w:type="dxa"/>
          </w:tcPr>
          <w:p w:rsidR="00BD22B9" w:rsidRPr="000E099D" w:rsidRDefault="00BD22B9" w:rsidP="00BD22B9">
            <w:pPr>
              <w:pStyle w:val="BodyText"/>
              <w:tabs>
                <w:tab w:val="left" w:pos="851"/>
                <w:tab w:val="left" w:pos="1701"/>
                <w:tab w:val="left" w:pos="2552"/>
                <w:tab w:val="left" w:pos="3402"/>
                <w:tab w:val="right" w:pos="9072"/>
              </w:tabs>
              <w:spacing w:before="80" w:after="80"/>
              <w:jc w:val="right"/>
              <w:rPr>
                <w:rFonts w:cs="Arial"/>
                <w:szCs w:val="24"/>
              </w:rPr>
            </w:pPr>
            <w:r w:rsidRPr="000E099D">
              <w:rPr>
                <w:rFonts w:cs="Arial"/>
                <w:b/>
                <w:szCs w:val="24"/>
              </w:rPr>
              <w:t>CONTACT TELEPHONE</w:t>
            </w:r>
          </w:p>
        </w:tc>
        <w:tc>
          <w:tcPr>
            <w:tcW w:w="3951" w:type="dxa"/>
          </w:tcPr>
          <w:p w:rsidR="00BD22B9" w:rsidRPr="00F678FE" w:rsidRDefault="00BD22B9" w:rsidP="00BD22B9">
            <w:pPr>
              <w:pStyle w:val="BodyText"/>
              <w:tabs>
                <w:tab w:val="left" w:pos="851"/>
                <w:tab w:val="left" w:pos="1701"/>
                <w:tab w:val="left" w:pos="2552"/>
                <w:tab w:val="left" w:pos="3402"/>
                <w:tab w:val="right" w:pos="9072"/>
              </w:tabs>
              <w:spacing w:before="80" w:after="80"/>
              <w:rPr>
                <w:rFonts w:cs="Arial"/>
                <w:szCs w:val="24"/>
              </w:rPr>
            </w:pPr>
            <w:r w:rsidRPr="00F678FE">
              <w:rPr>
                <w:rFonts w:cs="Arial"/>
                <w:szCs w:val="24"/>
              </w:rPr>
              <w:t>01224 285157 Jennifer Howie (POLICY)</w:t>
            </w:r>
          </w:p>
          <w:p w:rsidR="00BD22B9" w:rsidRPr="00546667" w:rsidRDefault="008E2D66" w:rsidP="00546667">
            <w:pPr>
              <w:pStyle w:val="PlainText"/>
              <w:rPr>
                <w:rFonts w:cs="Arial"/>
              </w:rPr>
            </w:pPr>
            <w:r w:rsidRPr="00A600D1">
              <w:rPr>
                <w:rFonts w:cs="Arial"/>
                <w:szCs w:val="24"/>
              </w:rPr>
              <w:t>0</w:t>
            </w:r>
            <w:r w:rsidRPr="007A301B">
              <w:rPr>
                <w:rFonts w:cs="Arial"/>
              </w:rPr>
              <w:t>7824 342187</w:t>
            </w:r>
            <w:r>
              <w:rPr>
                <w:rFonts w:cs="Arial"/>
              </w:rPr>
              <w:t xml:space="preserve"> </w:t>
            </w:r>
            <w:r w:rsidRPr="00B56C06">
              <w:rPr>
                <w:rFonts w:cs="Arial"/>
                <w:szCs w:val="24"/>
              </w:rPr>
              <w:t>Pat Smyth</w:t>
            </w:r>
          </w:p>
          <w:p w:rsidR="00BD22B9" w:rsidRPr="000E099D" w:rsidRDefault="00BD22B9" w:rsidP="00BD22B9">
            <w:pPr>
              <w:pStyle w:val="BodyText"/>
              <w:tabs>
                <w:tab w:val="left" w:pos="851"/>
                <w:tab w:val="left" w:pos="1701"/>
                <w:tab w:val="left" w:pos="2552"/>
                <w:tab w:val="left" w:pos="3402"/>
                <w:tab w:val="right" w:pos="9072"/>
              </w:tabs>
              <w:spacing w:before="80" w:after="80"/>
              <w:rPr>
                <w:rFonts w:cs="Arial"/>
                <w:b/>
                <w:szCs w:val="24"/>
              </w:rPr>
            </w:pPr>
            <w:r w:rsidRPr="000E099D">
              <w:rPr>
                <w:rFonts w:cs="Arial"/>
                <w:szCs w:val="24"/>
              </w:rPr>
              <w:t>(ENFORCEMENT)</w:t>
            </w:r>
          </w:p>
        </w:tc>
      </w:tr>
    </w:tbl>
    <w:p w:rsidR="00A04D11" w:rsidRDefault="00A04D11">
      <w:pPr>
        <w:rPr>
          <w:rFonts w:ascii="Arial" w:hAnsi="Arial"/>
          <w:b/>
          <w:sz w:val="28"/>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pPr>
    </w:p>
    <w:p w:rsidR="00A04D11" w:rsidRDefault="00A04D11">
      <w:pPr>
        <w:rPr>
          <w:rFonts w:ascii="Arial" w:hAnsi="Arial"/>
          <w:b/>
          <w:sz w:val="24"/>
          <w:u w:val="single"/>
        </w:rPr>
        <w:sectPr w:rsidR="00A04D1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588" w:bottom="1440" w:left="1797" w:header="720" w:footer="720" w:gutter="0"/>
          <w:cols w:space="720"/>
          <w:titlePg/>
        </w:sectPr>
      </w:pPr>
    </w:p>
    <w:p w:rsidR="000E6D48" w:rsidRDefault="000E6D48">
      <w:pPr>
        <w:pStyle w:val="TOCHeading"/>
      </w:pPr>
      <w:r>
        <w:lastRenderedPageBreak/>
        <w:t>Contents</w:t>
      </w:r>
    </w:p>
    <w:p w:rsidR="00093884" w:rsidRPr="002214CC" w:rsidRDefault="000E6D48">
      <w:pPr>
        <w:pStyle w:val="TOC1"/>
        <w:tabs>
          <w:tab w:val="right" w:leader="dot" w:pos="9060"/>
        </w:tabs>
        <w:rPr>
          <w:rFonts w:ascii="Calibri" w:hAnsi="Calibri"/>
          <w:noProof/>
          <w:sz w:val="22"/>
          <w:szCs w:val="22"/>
        </w:rPr>
      </w:pPr>
      <w:r>
        <w:fldChar w:fldCharType="begin"/>
      </w:r>
      <w:r>
        <w:instrText xml:space="preserve"> TOC \o "1-3" \h \z \u </w:instrText>
      </w:r>
      <w:r>
        <w:fldChar w:fldCharType="separate"/>
      </w:r>
      <w:hyperlink w:anchor="_Toc462655879" w:history="1">
        <w:r w:rsidR="00093884" w:rsidRPr="00CA27D7">
          <w:rPr>
            <w:rStyle w:val="Hyperlink"/>
            <w:noProof/>
          </w:rPr>
          <w:t>Revision history</w:t>
        </w:r>
        <w:r w:rsidR="00093884">
          <w:rPr>
            <w:noProof/>
            <w:webHidden/>
          </w:rPr>
          <w:tab/>
        </w:r>
        <w:r w:rsidR="00093884">
          <w:rPr>
            <w:noProof/>
            <w:webHidden/>
          </w:rPr>
          <w:fldChar w:fldCharType="begin"/>
        </w:r>
        <w:r w:rsidR="00093884">
          <w:rPr>
            <w:noProof/>
            <w:webHidden/>
          </w:rPr>
          <w:instrText xml:space="preserve"> PAGEREF _Toc462655879 \h </w:instrText>
        </w:r>
        <w:r w:rsidR="00093884">
          <w:rPr>
            <w:noProof/>
            <w:webHidden/>
          </w:rPr>
        </w:r>
        <w:r w:rsidR="00093884">
          <w:rPr>
            <w:noProof/>
            <w:webHidden/>
          </w:rPr>
          <w:fldChar w:fldCharType="separate"/>
        </w:r>
        <w:r w:rsidR="00093884">
          <w:rPr>
            <w:noProof/>
            <w:webHidden/>
          </w:rPr>
          <w:t>4</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80" w:history="1">
        <w:r w:rsidR="00093884" w:rsidRPr="00CA27D7">
          <w:rPr>
            <w:rStyle w:val="Hyperlink"/>
            <w:noProof/>
          </w:rPr>
          <w:t>General Introduction</w:t>
        </w:r>
        <w:r w:rsidR="00093884">
          <w:rPr>
            <w:noProof/>
            <w:webHidden/>
          </w:rPr>
          <w:tab/>
        </w:r>
        <w:r w:rsidR="00093884">
          <w:rPr>
            <w:noProof/>
            <w:webHidden/>
          </w:rPr>
          <w:fldChar w:fldCharType="begin"/>
        </w:r>
        <w:r w:rsidR="00093884">
          <w:rPr>
            <w:noProof/>
            <w:webHidden/>
          </w:rPr>
          <w:instrText xml:space="preserve"> PAGEREF _Toc462655880 \h </w:instrText>
        </w:r>
        <w:r w:rsidR="00093884">
          <w:rPr>
            <w:noProof/>
            <w:webHidden/>
          </w:rPr>
        </w:r>
        <w:r w:rsidR="00093884">
          <w:rPr>
            <w:noProof/>
            <w:webHidden/>
          </w:rPr>
          <w:fldChar w:fldCharType="separate"/>
        </w:r>
        <w:r w:rsidR="00093884">
          <w:rPr>
            <w:noProof/>
            <w:webHidden/>
          </w:rPr>
          <w:t>5</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81" w:history="1">
        <w:r w:rsidR="00093884" w:rsidRPr="00CA27D7">
          <w:rPr>
            <w:rStyle w:val="Hyperlink"/>
            <w:noProof/>
          </w:rPr>
          <w:t>Intended audience</w:t>
        </w:r>
        <w:r w:rsidR="00093884">
          <w:rPr>
            <w:noProof/>
            <w:webHidden/>
          </w:rPr>
          <w:tab/>
        </w:r>
        <w:r w:rsidR="00093884">
          <w:rPr>
            <w:noProof/>
            <w:webHidden/>
          </w:rPr>
          <w:fldChar w:fldCharType="begin"/>
        </w:r>
        <w:r w:rsidR="00093884">
          <w:rPr>
            <w:noProof/>
            <w:webHidden/>
          </w:rPr>
          <w:instrText xml:space="preserve"> PAGEREF _Toc462655881 \h </w:instrText>
        </w:r>
        <w:r w:rsidR="00093884">
          <w:rPr>
            <w:noProof/>
            <w:webHidden/>
          </w:rPr>
        </w:r>
        <w:r w:rsidR="00093884">
          <w:rPr>
            <w:noProof/>
            <w:webHidden/>
          </w:rPr>
          <w:fldChar w:fldCharType="separate"/>
        </w:r>
        <w:r w:rsidR="00093884">
          <w:rPr>
            <w:noProof/>
            <w:webHidden/>
          </w:rPr>
          <w:t>6</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82" w:history="1">
        <w:r w:rsidR="00093884" w:rsidRPr="00CA27D7">
          <w:rPr>
            <w:rStyle w:val="Hyperlink"/>
            <w:noProof/>
          </w:rPr>
          <w:t>Purpose of guidance</w:t>
        </w:r>
        <w:r w:rsidR="00093884">
          <w:rPr>
            <w:noProof/>
            <w:webHidden/>
          </w:rPr>
          <w:tab/>
        </w:r>
        <w:r w:rsidR="00093884">
          <w:rPr>
            <w:noProof/>
            <w:webHidden/>
          </w:rPr>
          <w:fldChar w:fldCharType="begin"/>
        </w:r>
        <w:r w:rsidR="00093884">
          <w:rPr>
            <w:noProof/>
            <w:webHidden/>
          </w:rPr>
          <w:instrText xml:space="preserve"> PAGEREF _Toc462655882 \h </w:instrText>
        </w:r>
        <w:r w:rsidR="00093884">
          <w:rPr>
            <w:noProof/>
            <w:webHidden/>
          </w:rPr>
        </w:r>
        <w:r w:rsidR="00093884">
          <w:rPr>
            <w:noProof/>
            <w:webHidden/>
          </w:rPr>
          <w:fldChar w:fldCharType="separate"/>
        </w:r>
        <w:r w:rsidR="00093884">
          <w:rPr>
            <w:noProof/>
            <w:webHidden/>
          </w:rPr>
          <w:t>6</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83" w:history="1">
        <w:r w:rsidR="00093884" w:rsidRPr="00CA27D7">
          <w:rPr>
            <w:rStyle w:val="Hyperlink"/>
            <w:noProof/>
          </w:rPr>
          <w:t>Legal status of guidance</w:t>
        </w:r>
        <w:r w:rsidR="00093884">
          <w:rPr>
            <w:noProof/>
            <w:webHidden/>
          </w:rPr>
          <w:tab/>
        </w:r>
        <w:r w:rsidR="00093884">
          <w:rPr>
            <w:noProof/>
            <w:webHidden/>
          </w:rPr>
          <w:fldChar w:fldCharType="begin"/>
        </w:r>
        <w:r w:rsidR="00093884">
          <w:rPr>
            <w:noProof/>
            <w:webHidden/>
          </w:rPr>
          <w:instrText xml:space="preserve"> PAGEREF _Toc462655883 \h </w:instrText>
        </w:r>
        <w:r w:rsidR="00093884">
          <w:rPr>
            <w:noProof/>
            <w:webHidden/>
          </w:rPr>
        </w:r>
        <w:r w:rsidR="00093884">
          <w:rPr>
            <w:noProof/>
            <w:webHidden/>
          </w:rPr>
          <w:fldChar w:fldCharType="separate"/>
        </w:r>
        <w:r w:rsidR="00093884">
          <w:rPr>
            <w:noProof/>
            <w:webHidden/>
          </w:rPr>
          <w:t>6</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84" w:history="1">
        <w:r w:rsidR="00093884" w:rsidRPr="00CA27D7">
          <w:rPr>
            <w:rStyle w:val="Hyperlink"/>
            <w:noProof/>
          </w:rPr>
          <w:t>Contacts</w:t>
        </w:r>
        <w:r w:rsidR="00093884">
          <w:rPr>
            <w:noProof/>
            <w:webHidden/>
          </w:rPr>
          <w:tab/>
        </w:r>
        <w:r w:rsidR="00093884">
          <w:rPr>
            <w:noProof/>
            <w:webHidden/>
          </w:rPr>
          <w:fldChar w:fldCharType="begin"/>
        </w:r>
        <w:r w:rsidR="00093884">
          <w:rPr>
            <w:noProof/>
            <w:webHidden/>
          </w:rPr>
          <w:instrText xml:space="preserve"> PAGEREF _Toc462655884 \h </w:instrText>
        </w:r>
        <w:r w:rsidR="00093884">
          <w:rPr>
            <w:noProof/>
            <w:webHidden/>
          </w:rPr>
        </w:r>
        <w:r w:rsidR="00093884">
          <w:rPr>
            <w:noProof/>
            <w:webHidden/>
          </w:rPr>
          <w:fldChar w:fldCharType="separate"/>
        </w:r>
        <w:r w:rsidR="00093884">
          <w:rPr>
            <w:noProof/>
            <w:webHidden/>
          </w:rPr>
          <w:t>7</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85" w:history="1">
        <w:r w:rsidR="00093884" w:rsidRPr="00CA27D7">
          <w:rPr>
            <w:rStyle w:val="Hyperlink"/>
            <w:noProof/>
          </w:rPr>
          <w:t>SECTION 1:  General obligations on scallop harvesters and businesses</w:t>
        </w:r>
        <w:r w:rsidR="00093884">
          <w:rPr>
            <w:noProof/>
            <w:webHidden/>
          </w:rPr>
          <w:tab/>
        </w:r>
        <w:r w:rsidR="00093884">
          <w:rPr>
            <w:noProof/>
            <w:webHidden/>
          </w:rPr>
          <w:fldChar w:fldCharType="begin"/>
        </w:r>
        <w:r w:rsidR="00093884">
          <w:rPr>
            <w:noProof/>
            <w:webHidden/>
          </w:rPr>
          <w:instrText xml:space="preserve"> PAGEREF _Toc462655885 \h </w:instrText>
        </w:r>
        <w:r w:rsidR="00093884">
          <w:rPr>
            <w:noProof/>
            <w:webHidden/>
          </w:rPr>
        </w:r>
        <w:r w:rsidR="00093884">
          <w:rPr>
            <w:noProof/>
            <w:webHidden/>
          </w:rPr>
          <w:fldChar w:fldCharType="separate"/>
        </w:r>
        <w:r w:rsidR="00093884">
          <w:rPr>
            <w:noProof/>
            <w:webHidden/>
          </w:rPr>
          <w:t>8</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86" w:history="1">
        <w:r w:rsidR="00093884" w:rsidRPr="00CA27D7">
          <w:rPr>
            <w:rStyle w:val="Hyperlink"/>
            <w:noProof/>
          </w:rPr>
          <w:t>Introduction</w:t>
        </w:r>
        <w:r w:rsidR="00093884">
          <w:rPr>
            <w:noProof/>
            <w:webHidden/>
          </w:rPr>
          <w:tab/>
        </w:r>
        <w:r w:rsidR="00093884">
          <w:rPr>
            <w:noProof/>
            <w:webHidden/>
          </w:rPr>
          <w:fldChar w:fldCharType="begin"/>
        </w:r>
        <w:r w:rsidR="00093884">
          <w:rPr>
            <w:noProof/>
            <w:webHidden/>
          </w:rPr>
          <w:instrText xml:space="preserve"> PAGEREF _Toc462655886 \h </w:instrText>
        </w:r>
        <w:r w:rsidR="00093884">
          <w:rPr>
            <w:noProof/>
            <w:webHidden/>
          </w:rPr>
        </w:r>
        <w:r w:rsidR="00093884">
          <w:rPr>
            <w:noProof/>
            <w:webHidden/>
          </w:rPr>
          <w:fldChar w:fldCharType="separate"/>
        </w:r>
        <w:r w:rsidR="00093884">
          <w:rPr>
            <w:noProof/>
            <w:webHidden/>
          </w:rPr>
          <w:t>8</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87" w:history="1">
        <w:r w:rsidR="00093884" w:rsidRPr="00CA27D7">
          <w:rPr>
            <w:rStyle w:val="Hyperlink"/>
            <w:noProof/>
          </w:rPr>
          <w:t>Shellfish toxins:  Maximum permitted levels</w:t>
        </w:r>
        <w:r w:rsidR="00093884">
          <w:rPr>
            <w:noProof/>
            <w:webHidden/>
          </w:rPr>
          <w:tab/>
        </w:r>
        <w:r w:rsidR="00093884">
          <w:rPr>
            <w:noProof/>
            <w:webHidden/>
          </w:rPr>
          <w:fldChar w:fldCharType="begin"/>
        </w:r>
        <w:r w:rsidR="00093884">
          <w:rPr>
            <w:noProof/>
            <w:webHidden/>
          </w:rPr>
          <w:instrText xml:space="preserve"> PAGEREF _Toc462655887 \h </w:instrText>
        </w:r>
        <w:r w:rsidR="00093884">
          <w:rPr>
            <w:noProof/>
            <w:webHidden/>
          </w:rPr>
        </w:r>
        <w:r w:rsidR="00093884">
          <w:rPr>
            <w:noProof/>
            <w:webHidden/>
          </w:rPr>
          <w:fldChar w:fldCharType="separate"/>
        </w:r>
        <w:r w:rsidR="00093884">
          <w:rPr>
            <w:noProof/>
            <w:webHidden/>
          </w:rPr>
          <w:t>8</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88" w:history="1">
        <w:r w:rsidR="00093884" w:rsidRPr="00CA27D7">
          <w:rPr>
            <w:rStyle w:val="Hyperlink"/>
            <w:noProof/>
          </w:rPr>
          <w:t>Shucking</w:t>
        </w:r>
        <w:r w:rsidR="00093884">
          <w:rPr>
            <w:noProof/>
            <w:webHidden/>
          </w:rPr>
          <w:tab/>
        </w:r>
        <w:r w:rsidR="00093884">
          <w:rPr>
            <w:noProof/>
            <w:webHidden/>
          </w:rPr>
          <w:fldChar w:fldCharType="begin"/>
        </w:r>
        <w:r w:rsidR="00093884">
          <w:rPr>
            <w:noProof/>
            <w:webHidden/>
          </w:rPr>
          <w:instrText xml:space="preserve"> PAGEREF _Toc462655888 \h </w:instrText>
        </w:r>
        <w:r w:rsidR="00093884">
          <w:rPr>
            <w:noProof/>
            <w:webHidden/>
          </w:rPr>
        </w:r>
        <w:r w:rsidR="00093884">
          <w:rPr>
            <w:noProof/>
            <w:webHidden/>
          </w:rPr>
          <w:fldChar w:fldCharType="separate"/>
        </w:r>
        <w:r w:rsidR="00093884">
          <w:rPr>
            <w:noProof/>
            <w:webHidden/>
          </w:rPr>
          <w:t>9</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89" w:history="1">
        <w:r w:rsidR="00093884" w:rsidRPr="00CA27D7">
          <w:rPr>
            <w:rStyle w:val="Hyperlink"/>
            <w:noProof/>
          </w:rPr>
          <w:t>End product testing</w:t>
        </w:r>
        <w:r w:rsidR="00093884">
          <w:rPr>
            <w:noProof/>
            <w:webHidden/>
          </w:rPr>
          <w:tab/>
        </w:r>
        <w:r w:rsidR="00093884">
          <w:rPr>
            <w:noProof/>
            <w:webHidden/>
          </w:rPr>
          <w:fldChar w:fldCharType="begin"/>
        </w:r>
        <w:r w:rsidR="00093884">
          <w:rPr>
            <w:noProof/>
            <w:webHidden/>
          </w:rPr>
          <w:instrText xml:space="preserve"> PAGEREF _Toc462655889 \h </w:instrText>
        </w:r>
        <w:r w:rsidR="00093884">
          <w:rPr>
            <w:noProof/>
            <w:webHidden/>
          </w:rPr>
        </w:r>
        <w:r w:rsidR="00093884">
          <w:rPr>
            <w:noProof/>
            <w:webHidden/>
          </w:rPr>
          <w:fldChar w:fldCharType="separate"/>
        </w:r>
        <w:r w:rsidR="00093884">
          <w:rPr>
            <w:noProof/>
            <w:webHidden/>
          </w:rPr>
          <w:t>9</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90" w:history="1">
        <w:r w:rsidR="00093884" w:rsidRPr="00CA27D7">
          <w:rPr>
            <w:rStyle w:val="Hyperlink"/>
            <w:noProof/>
          </w:rPr>
          <w:t>SECTION 2:  CONTROLS APPLICABLE TO SCALLOP ESTABLISHMENTS APPROVED UNDER 853/2004</w:t>
        </w:r>
        <w:r w:rsidR="00093884">
          <w:rPr>
            <w:noProof/>
            <w:webHidden/>
          </w:rPr>
          <w:tab/>
        </w:r>
        <w:r w:rsidR="00093884">
          <w:rPr>
            <w:noProof/>
            <w:webHidden/>
          </w:rPr>
          <w:fldChar w:fldCharType="begin"/>
        </w:r>
        <w:r w:rsidR="00093884">
          <w:rPr>
            <w:noProof/>
            <w:webHidden/>
          </w:rPr>
          <w:instrText xml:space="preserve"> PAGEREF _Toc462655890 \h </w:instrText>
        </w:r>
        <w:r w:rsidR="00093884">
          <w:rPr>
            <w:noProof/>
            <w:webHidden/>
          </w:rPr>
        </w:r>
        <w:r w:rsidR="00093884">
          <w:rPr>
            <w:noProof/>
            <w:webHidden/>
          </w:rPr>
          <w:fldChar w:fldCharType="separate"/>
        </w:r>
        <w:r w:rsidR="00093884">
          <w:rPr>
            <w:noProof/>
            <w:webHidden/>
          </w:rPr>
          <w:t>10</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1" w:history="1">
        <w:r w:rsidR="00093884" w:rsidRPr="00CA27D7">
          <w:rPr>
            <w:rStyle w:val="Hyperlink"/>
            <w:noProof/>
          </w:rPr>
          <w:t>FBO obligations, official controls and action in the event of a failed sample or inadequate HACCP</w:t>
        </w:r>
        <w:r w:rsidR="00093884">
          <w:rPr>
            <w:noProof/>
            <w:webHidden/>
          </w:rPr>
          <w:tab/>
        </w:r>
        <w:r w:rsidR="00093884">
          <w:rPr>
            <w:noProof/>
            <w:webHidden/>
          </w:rPr>
          <w:fldChar w:fldCharType="begin"/>
        </w:r>
        <w:r w:rsidR="00093884">
          <w:rPr>
            <w:noProof/>
            <w:webHidden/>
          </w:rPr>
          <w:instrText xml:space="preserve"> PAGEREF _Toc462655891 \h </w:instrText>
        </w:r>
        <w:r w:rsidR="00093884">
          <w:rPr>
            <w:noProof/>
            <w:webHidden/>
          </w:rPr>
        </w:r>
        <w:r w:rsidR="00093884">
          <w:rPr>
            <w:noProof/>
            <w:webHidden/>
          </w:rPr>
          <w:fldChar w:fldCharType="separate"/>
        </w:r>
        <w:r w:rsidR="00093884">
          <w:rPr>
            <w:noProof/>
            <w:webHidden/>
          </w:rPr>
          <w:t>10</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2" w:history="1">
        <w:r w:rsidR="00093884" w:rsidRPr="00CA27D7">
          <w:rPr>
            <w:rStyle w:val="Hyperlink"/>
            <w:noProof/>
          </w:rPr>
          <w:t>Communication and Notification Arrangements for OC Results</w:t>
        </w:r>
        <w:r w:rsidR="00093884">
          <w:rPr>
            <w:noProof/>
            <w:webHidden/>
          </w:rPr>
          <w:tab/>
        </w:r>
        <w:r w:rsidR="00093884">
          <w:rPr>
            <w:noProof/>
            <w:webHidden/>
          </w:rPr>
          <w:fldChar w:fldCharType="begin"/>
        </w:r>
        <w:r w:rsidR="00093884">
          <w:rPr>
            <w:noProof/>
            <w:webHidden/>
          </w:rPr>
          <w:instrText xml:space="preserve"> PAGEREF _Toc462655892 \h </w:instrText>
        </w:r>
        <w:r w:rsidR="00093884">
          <w:rPr>
            <w:noProof/>
            <w:webHidden/>
          </w:rPr>
        </w:r>
        <w:r w:rsidR="00093884">
          <w:rPr>
            <w:noProof/>
            <w:webHidden/>
          </w:rPr>
          <w:fldChar w:fldCharType="separate"/>
        </w:r>
        <w:r w:rsidR="00093884">
          <w:rPr>
            <w:noProof/>
            <w:webHidden/>
          </w:rPr>
          <w:t>11</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3" w:history="1">
        <w:r w:rsidR="00093884" w:rsidRPr="00CA27D7">
          <w:rPr>
            <w:rStyle w:val="Hyperlink"/>
            <w:noProof/>
          </w:rPr>
          <w:t>Primary production:  roles,  responsibilities and registration documents</w:t>
        </w:r>
        <w:r w:rsidR="00093884">
          <w:rPr>
            <w:noProof/>
            <w:webHidden/>
          </w:rPr>
          <w:tab/>
        </w:r>
        <w:r w:rsidR="00093884">
          <w:rPr>
            <w:noProof/>
            <w:webHidden/>
          </w:rPr>
          <w:fldChar w:fldCharType="begin"/>
        </w:r>
        <w:r w:rsidR="00093884">
          <w:rPr>
            <w:noProof/>
            <w:webHidden/>
          </w:rPr>
          <w:instrText xml:space="preserve"> PAGEREF _Toc462655893 \h </w:instrText>
        </w:r>
        <w:r w:rsidR="00093884">
          <w:rPr>
            <w:noProof/>
            <w:webHidden/>
          </w:rPr>
        </w:r>
        <w:r w:rsidR="00093884">
          <w:rPr>
            <w:noProof/>
            <w:webHidden/>
          </w:rPr>
          <w:fldChar w:fldCharType="separate"/>
        </w:r>
        <w:r w:rsidR="00093884">
          <w:rPr>
            <w:noProof/>
            <w:webHidden/>
          </w:rPr>
          <w:t>12</w:t>
        </w:r>
        <w:r w:rsidR="00093884">
          <w:rPr>
            <w:noProof/>
            <w:webHidden/>
          </w:rPr>
          <w:fldChar w:fldCharType="end"/>
        </w:r>
      </w:hyperlink>
    </w:p>
    <w:p w:rsidR="00093884" w:rsidRPr="002214CC" w:rsidRDefault="00CF39F3">
      <w:pPr>
        <w:pStyle w:val="TOC1"/>
        <w:tabs>
          <w:tab w:val="right" w:leader="dot" w:pos="9060"/>
        </w:tabs>
        <w:rPr>
          <w:rFonts w:ascii="Calibri" w:hAnsi="Calibri"/>
          <w:noProof/>
          <w:sz w:val="22"/>
          <w:szCs w:val="22"/>
        </w:rPr>
      </w:pPr>
      <w:hyperlink w:anchor="_Toc462655894" w:history="1">
        <w:r w:rsidR="00093884" w:rsidRPr="00CA27D7">
          <w:rPr>
            <w:rStyle w:val="Hyperlink"/>
            <w:noProof/>
          </w:rPr>
          <w:t>SECTION 3  CONTROLS REGARDING The direct supply, by the producer, of small quantities of primary products to the final consumer or to local retail establishments directly supplying the final consumer</w:t>
        </w:r>
        <w:r w:rsidR="00093884">
          <w:rPr>
            <w:noProof/>
            <w:webHidden/>
          </w:rPr>
          <w:tab/>
        </w:r>
        <w:r w:rsidR="00093884">
          <w:rPr>
            <w:noProof/>
            <w:webHidden/>
          </w:rPr>
          <w:fldChar w:fldCharType="begin"/>
        </w:r>
        <w:r w:rsidR="00093884">
          <w:rPr>
            <w:noProof/>
            <w:webHidden/>
          </w:rPr>
          <w:instrText xml:space="preserve"> PAGEREF _Toc462655894 \h </w:instrText>
        </w:r>
        <w:r w:rsidR="00093884">
          <w:rPr>
            <w:noProof/>
            <w:webHidden/>
          </w:rPr>
        </w:r>
        <w:r w:rsidR="00093884">
          <w:rPr>
            <w:noProof/>
            <w:webHidden/>
          </w:rPr>
          <w:fldChar w:fldCharType="separate"/>
        </w:r>
        <w:r w:rsidR="00093884">
          <w:rPr>
            <w:noProof/>
            <w:webHidden/>
          </w:rPr>
          <w:t>15</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5" w:history="1">
        <w:r w:rsidR="00093884" w:rsidRPr="00CA27D7">
          <w:rPr>
            <w:rStyle w:val="Hyperlink"/>
            <w:noProof/>
          </w:rPr>
          <w:t>ANNEX A – examples prepared scallops following good/bad shucking</w:t>
        </w:r>
        <w:r w:rsidR="00093884">
          <w:rPr>
            <w:noProof/>
            <w:webHidden/>
          </w:rPr>
          <w:tab/>
        </w:r>
        <w:r w:rsidR="00093884">
          <w:rPr>
            <w:noProof/>
            <w:webHidden/>
          </w:rPr>
          <w:fldChar w:fldCharType="begin"/>
        </w:r>
        <w:r w:rsidR="00093884">
          <w:rPr>
            <w:noProof/>
            <w:webHidden/>
          </w:rPr>
          <w:instrText xml:space="preserve"> PAGEREF _Toc462655895 \h </w:instrText>
        </w:r>
        <w:r w:rsidR="00093884">
          <w:rPr>
            <w:noProof/>
            <w:webHidden/>
          </w:rPr>
        </w:r>
        <w:r w:rsidR="00093884">
          <w:rPr>
            <w:noProof/>
            <w:webHidden/>
          </w:rPr>
          <w:fldChar w:fldCharType="separate"/>
        </w:r>
        <w:r w:rsidR="00093884">
          <w:rPr>
            <w:noProof/>
            <w:webHidden/>
          </w:rPr>
          <w:t>16</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6" w:history="1">
        <w:r w:rsidR="00093884" w:rsidRPr="00CA27D7">
          <w:rPr>
            <w:rStyle w:val="Hyperlink"/>
            <w:noProof/>
          </w:rPr>
          <w:t>ANNEX B  Frequency of official control sampling in relation to pecinidae and enforcement action</w:t>
        </w:r>
        <w:r w:rsidR="00093884">
          <w:rPr>
            <w:noProof/>
            <w:webHidden/>
          </w:rPr>
          <w:tab/>
        </w:r>
        <w:r w:rsidR="00093884">
          <w:rPr>
            <w:noProof/>
            <w:webHidden/>
          </w:rPr>
          <w:fldChar w:fldCharType="begin"/>
        </w:r>
        <w:r w:rsidR="00093884">
          <w:rPr>
            <w:noProof/>
            <w:webHidden/>
          </w:rPr>
          <w:instrText xml:space="preserve"> PAGEREF _Toc462655896 \h </w:instrText>
        </w:r>
        <w:r w:rsidR="00093884">
          <w:rPr>
            <w:noProof/>
            <w:webHidden/>
          </w:rPr>
        </w:r>
        <w:r w:rsidR="00093884">
          <w:rPr>
            <w:noProof/>
            <w:webHidden/>
          </w:rPr>
          <w:fldChar w:fldCharType="separate"/>
        </w:r>
        <w:r w:rsidR="00093884">
          <w:rPr>
            <w:noProof/>
            <w:webHidden/>
          </w:rPr>
          <w:t>17</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7" w:history="1">
        <w:r w:rsidR="00093884" w:rsidRPr="00CA27D7">
          <w:rPr>
            <w:rStyle w:val="Hyperlink"/>
            <w:noProof/>
          </w:rPr>
          <w:t>Table 1 Suggested frequency of official control sampling in relation to scallops and enforcement action</w:t>
        </w:r>
        <w:r w:rsidR="00093884">
          <w:rPr>
            <w:noProof/>
            <w:webHidden/>
          </w:rPr>
          <w:tab/>
        </w:r>
        <w:r w:rsidR="00093884">
          <w:rPr>
            <w:noProof/>
            <w:webHidden/>
          </w:rPr>
          <w:fldChar w:fldCharType="begin"/>
        </w:r>
        <w:r w:rsidR="00093884">
          <w:rPr>
            <w:noProof/>
            <w:webHidden/>
          </w:rPr>
          <w:instrText xml:space="preserve"> PAGEREF _Toc462655897 \h </w:instrText>
        </w:r>
        <w:r w:rsidR="00093884">
          <w:rPr>
            <w:noProof/>
            <w:webHidden/>
          </w:rPr>
        </w:r>
        <w:r w:rsidR="00093884">
          <w:rPr>
            <w:noProof/>
            <w:webHidden/>
          </w:rPr>
          <w:fldChar w:fldCharType="separate"/>
        </w:r>
        <w:r w:rsidR="00093884">
          <w:rPr>
            <w:noProof/>
            <w:webHidden/>
          </w:rPr>
          <w:t>19</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8" w:history="1">
        <w:r w:rsidR="00093884" w:rsidRPr="00CA27D7">
          <w:rPr>
            <w:rStyle w:val="Hyperlink"/>
            <w:noProof/>
          </w:rPr>
          <w:t>ANNEX C – Sample collection protocol</w:t>
        </w:r>
        <w:r w:rsidR="00093884">
          <w:rPr>
            <w:noProof/>
            <w:webHidden/>
          </w:rPr>
          <w:tab/>
        </w:r>
        <w:r w:rsidR="00093884">
          <w:rPr>
            <w:noProof/>
            <w:webHidden/>
          </w:rPr>
          <w:fldChar w:fldCharType="begin"/>
        </w:r>
        <w:r w:rsidR="00093884">
          <w:rPr>
            <w:noProof/>
            <w:webHidden/>
          </w:rPr>
          <w:instrText xml:space="preserve"> PAGEREF _Toc462655898 \h </w:instrText>
        </w:r>
        <w:r w:rsidR="00093884">
          <w:rPr>
            <w:noProof/>
            <w:webHidden/>
          </w:rPr>
        </w:r>
        <w:r w:rsidR="00093884">
          <w:rPr>
            <w:noProof/>
            <w:webHidden/>
          </w:rPr>
          <w:fldChar w:fldCharType="separate"/>
        </w:r>
        <w:r w:rsidR="00093884">
          <w:rPr>
            <w:noProof/>
            <w:webHidden/>
          </w:rPr>
          <w:t>22</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899" w:history="1">
        <w:r w:rsidR="00093884" w:rsidRPr="00CA27D7">
          <w:rPr>
            <w:rStyle w:val="Hyperlink"/>
            <w:noProof/>
          </w:rPr>
          <w:t>ANNEX D – Offshore map showing area ‘boxes’</w:t>
        </w:r>
        <w:r w:rsidR="00093884">
          <w:rPr>
            <w:noProof/>
            <w:webHidden/>
          </w:rPr>
          <w:tab/>
        </w:r>
        <w:r w:rsidR="00093884">
          <w:rPr>
            <w:noProof/>
            <w:webHidden/>
          </w:rPr>
          <w:fldChar w:fldCharType="begin"/>
        </w:r>
        <w:r w:rsidR="00093884">
          <w:rPr>
            <w:noProof/>
            <w:webHidden/>
          </w:rPr>
          <w:instrText xml:space="preserve"> PAGEREF _Toc462655899 \h </w:instrText>
        </w:r>
        <w:r w:rsidR="00093884">
          <w:rPr>
            <w:noProof/>
            <w:webHidden/>
          </w:rPr>
        </w:r>
        <w:r w:rsidR="00093884">
          <w:rPr>
            <w:noProof/>
            <w:webHidden/>
          </w:rPr>
          <w:fldChar w:fldCharType="separate"/>
        </w:r>
        <w:r w:rsidR="00093884">
          <w:rPr>
            <w:noProof/>
            <w:webHidden/>
          </w:rPr>
          <w:t>23</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900" w:history="1">
        <w:r w:rsidR="00093884" w:rsidRPr="00CA27D7">
          <w:rPr>
            <w:rStyle w:val="Hyperlink"/>
            <w:noProof/>
          </w:rPr>
          <w:t>ANNEX E.  What is a batch and what is a representative sample?</w:t>
        </w:r>
        <w:r w:rsidR="00093884">
          <w:rPr>
            <w:noProof/>
            <w:webHidden/>
          </w:rPr>
          <w:tab/>
        </w:r>
        <w:r w:rsidR="00093884">
          <w:rPr>
            <w:noProof/>
            <w:webHidden/>
          </w:rPr>
          <w:fldChar w:fldCharType="begin"/>
        </w:r>
        <w:r w:rsidR="00093884">
          <w:rPr>
            <w:noProof/>
            <w:webHidden/>
          </w:rPr>
          <w:instrText xml:space="preserve"> PAGEREF _Toc462655900 \h </w:instrText>
        </w:r>
        <w:r w:rsidR="00093884">
          <w:rPr>
            <w:noProof/>
            <w:webHidden/>
          </w:rPr>
        </w:r>
        <w:r w:rsidR="00093884">
          <w:rPr>
            <w:noProof/>
            <w:webHidden/>
          </w:rPr>
          <w:fldChar w:fldCharType="separate"/>
        </w:r>
        <w:r w:rsidR="00093884">
          <w:rPr>
            <w:noProof/>
            <w:webHidden/>
          </w:rPr>
          <w:t>24</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901" w:history="1">
        <w:r w:rsidR="00093884" w:rsidRPr="00CA27D7">
          <w:rPr>
            <w:rStyle w:val="Hyperlink"/>
            <w:noProof/>
          </w:rPr>
          <w:t>ANNEX F:  Detail of Biotoxin closures in French waters and controls applicable to inter-EU trade</w:t>
        </w:r>
        <w:r w:rsidR="00093884">
          <w:rPr>
            <w:noProof/>
            <w:webHidden/>
          </w:rPr>
          <w:tab/>
        </w:r>
        <w:r w:rsidR="00093884">
          <w:rPr>
            <w:noProof/>
            <w:webHidden/>
          </w:rPr>
          <w:fldChar w:fldCharType="begin"/>
        </w:r>
        <w:r w:rsidR="00093884">
          <w:rPr>
            <w:noProof/>
            <w:webHidden/>
          </w:rPr>
          <w:instrText xml:space="preserve"> PAGEREF _Toc462655901 \h </w:instrText>
        </w:r>
        <w:r w:rsidR="00093884">
          <w:rPr>
            <w:noProof/>
            <w:webHidden/>
          </w:rPr>
        </w:r>
        <w:r w:rsidR="00093884">
          <w:rPr>
            <w:noProof/>
            <w:webHidden/>
          </w:rPr>
          <w:fldChar w:fldCharType="separate"/>
        </w:r>
        <w:r w:rsidR="00093884">
          <w:rPr>
            <w:noProof/>
            <w:webHidden/>
          </w:rPr>
          <w:t>25</w:t>
        </w:r>
        <w:r w:rsidR="00093884">
          <w:rPr>
            <w:noProof/>
            <w:webHidden/>
          </w:rPr>
          <w:fldChar w:fldCharType="end"/>
        </w:r>
      </w:hyperlink>
    </w:p>
    <w:p w:rsidR="00093884" w:rsidRPr="002214CC" w:rsidRDefault="00CF39F3">
      <w:pPr>
        <w:pStyle w:val="TOC3"/>
        <w:tabs>
          <w:tab w:val="right" w:leader="dot" w:pos="9060"/>
        </w:tabs>
        <w:rPr>
          <w:rFonts w:ascii="Calibri" w:hAnsi="Calibri"/>
          <w:noProof/>
          <w:sz w:val="22"/>
          <w:szCs w:val="22"/>
        </w:rPr>
      </w:pPr>
      <w:hyperlink w:anchor="_Toc462655902" w:history="1">
        <w:r w:rsidR="00093884" w:rsidRPr="00CA27D7">
          <w:rPr>
            <w:rStyle w:val="Hyperlink"/>
            <w:noProof/>
          </w:rPr>
          <w:t>ANNEX G:  Guidance for the production of scallops on the national market.  Model framework:</w:t>
        </w:r>
        <w:r w:rsidR="00093884">
          <w:rPr>
            <w:noProof/>
            <w:webHidden/>
          </w:rPr>
          <w:tab/>
        </w:r>
        <w:r w:rsidR="00093884">
          <w:rPr>
            <w:noProof/>
            <w:webHidden/>
          </w:rPr>
          <w:fldChar w:fldCharType="begin"/>
        </w:r>
        <w:r w:rsidR="00093884">
          <w:rPr>
            <w:noProof/>
            <w:webHidden/>
          </w:rPr>
          <w:instrText xml:space="preserve"> PAGEREF _Toc462655902 \h </w:instrText>
        </w:r>
        <w:r w:rsidR="00093884">
          <w:rPr>
            <w:noProof/>
            <w:webHidden/>
          </w:rPr>
        </w:r>
        <w:r w:rsidR="00093884">
          <w:rPr>
            <w:noProof/>
            <w:webHidden/>
          </w:rPr>
          <w:fldChar w:fldCharType="separate"/>
        </w:r>
        <w:r w:rsidR="00093884">
          <w:rPr>
            <w:noProof/>
            <w:webHidden/>
          </w:rPr>
          <w:t>26</w:t>
        </w:r>
        <w:r w:rsidR="00093884">
          <w:rPr>
            <w:noProof/>
            <w:webHidden/>
          </w:rPr>
          <w:fldChar w:fldCharType="end"/>
        </w:r>
      </w:hyperlink>
    </w:p>
    <w:p w:rsidR="00093884" w:rsidRPr="002214CC" w:rsidRDefault="00CF39F3">
      <w:pPr>
        <w:pStyle w:val="TOC2"/>
        <w:tabs>
          <w:tab w:val="right" w:leader="dot" w:pos="9060"/>
        </w:tabs>
        <w:rPr>
          <w:rFonts w:ascii="Calibri" w:hAnsi="Calibri"/>
          <w:noProof/>
          <w:sz w:val="22"/>
          <w:szCs w:val="22"/>
        </w:rPr>
      </w:pPr>
      <w:hyperlink w:anchor="_Toc462655903" w:history="1">
        <w:r w:rsidR="00093884" w:rsidRPr="00CA27D7">
          <w:rPr>
            <w:rStyle w:val="Hyperlink"/>
            <w:rFonts w:ascii="Arial" w:eastAsia="Calibri" w:hAnsi="Arial" w:cs="Arial"/>
            <w:b/>
            <w:bCs/>
            <w:noProof/>
          </w:rPr>
          <w:t>Annex D1: Confirmation of HACCP and scallop handling requirements</w:t>
        </w:r>
        <w:r w:rsidR="00093884">
          <w:rPr>
            <w:noProof/>
            <w:webHidden/>
          </w:rPr>
          <w:tab/>
        </w:r>
        <w:r w:rsidR="00093884">
          <w:rPr>
            <w:noProof/>
            <w:webHidden/>
          </w:rPr>
          <w:fldChar w:fldCharType="begin"/>
        </w:r>
        <w:r w:rsidR="00093884">
          <w:rPr>
            <w:noProof/>
            <w:webHidden/>
          </w:rPr>
          <w:instrText xml:space="preserve"> PAGEREF _Toc462655903 \h </w:instrText>
        </w:r>
        <w:r w:rsidR="00093884">
          <w:rPr>
            <w:noProof/>
            <w:webHidden/>
          </w:rPr>
        </w:r>
        <w:r w:rsidR="00093884">
          <w:rPr>
            <w:noProof/>
            <w:webHidden/>
          </w:rPr>
          <w:fldChar w:fldCharType="separate"/>
        </w:r>
        <w:r w:rsidR="00093884">
          <w:rPr>
            <w:noProof/>
            <w:webHidden/>
          </w:rPr>
          <w:t>29</w:t>
        </w:r>
        <w:r w:rsidR="00093884">
          <w:rPr>
            <w:noProof/>
            <w:webHidden/>
          </w:rPr>
          <w:fldChar w:fldCharType="end"/>
        </w:r>
      </w:hyperlink>
    </w:p>
    <w:p w:rsidR="00093884" w:rsidRPr="002214CC" w:rsidRDefault="00CF39F3">
      <w:pPr>
        <w:pStyle w:val="TOC2"/>
        <w:tabs>
          <w:tab w:val="right" w:leader="dot" w:pos="9060"/>
        </w:tabs>
        <w:rPr>
          <w:rFonts w:ascii="Calibri" w:hAnsi="Calibri"/>
          <w:noProof/>
          <w:sz w:val="22"/>
          <w:szCs w:val="22"/>
        </w:rPr>
      </w:pPr>
      <w:hyperlink w:anchor="_Toc462655904" w:history="1">
        <w:r w:rsidR="00093884" w:rsidRPr="00CA27D7">
          <w:rPr>
            <w:rStyle w:val="Hyperlink"/>
            <w:rFonts w:ascii="Arial" w:hAnsi="Arial" w:cs="Arial"/>
            <w:noProof/>
            <w:lang w:eastAsia="en-US"/>
          </w:rPr>
          <w:t>(Applies only to small quantities sold directly by the primary producer to local retail establishments)</w:t>
        </w:r>
        <w:r w:rsidR="00093884">
          <w:rPr>
            <w:noProof/>
            <w:webHidden/>
          </w:rPr>
          <w:tab/>
        </w:r>
        <w:r w:rsidR="00093884">
          <w:rPr>
            <w:noProof/>
            <w:webHidden/>
          </w:rPr>
          <w:fldChar w:fldCharType="begin"/>
        </w:r>
        <w:r w:rsidR="00093884">
          <w:rPr>
            <w:noProof/>
            <w:webHidden/>
          </w:rPr>
          <w:instrText xml:space="preserve"> PAGEREF _Toc462655904 \h </w:instrText>
        </w:r>
        <w:r w:rsidR="00093884">
          <w:rPr>
            <w:noProof/>
            <w:webHidden/>
          </w:rPr>
        </w:r>
        <w:r w:rsidR="00093884">
          <w:rPr>
            <w:noProof/>
            <w:webHidden/>
          </w:rPr>
          <w:fldChar w:fldCharType="separate"/>
        </w:r>
        <w:r w:rsidR="00093884">
          <w:rPr>
            <w:noProof/>
            <w:webHidden/>
          </w:rPr>
          <w:t>29</w:t>
        </w:r>
        <w:r w:rsidR="00093884">
          <w:rPr>
            <w:noProof/>
            <w:webHidden/>
          </w:rPr>
          <w:fldChar w:fldCharType="end"/>
        </w:r>
      </w:hyperlink>
    </w:p>
    <w:p w:rsidR="00093884" w:rsidRPr="002214CC" w:rsidRDefault="00CF39F3">
      <w:pPr>
        <w:pStyle w:val="TOC2"/>
        <w:tabs>
          <w:tab w:val="right" w:leader="dot" w:pos="9060"/>
        </w:tabs>
        <w:rPr>
          <w:rFonts w:ascii="Calibri" w:hAnsi="Calibri"/>
          <w:noProof/>
          <w:sz w:val="22"/>
          <w:szCs w:val="22"/>
        </w:rPr>
      </w:pPr>
      <w:hyperlink w:anchor="_Toc462655905" w:history="1">
        <w:r w:rsidR="00093884" w:rsidRPr="00CA27D7">
          <w:rPr>
            <w:rStyle w:val="Hyperlink"/>
            <w:rFonts w:ascii="Arial" w:eastAsia="Calibri" w:hAnsi="Arial" w:cs="Arial"/>
            <w:b/>
            <w:noProof/>
            <w:lang w:eastAsia="en-US"/>
          </w:rPr>
          <w:t>ANNEX D2 –Suggested  Food safety notice</w:t>
        </w:r>
        <w:r w:rsidR="00093884">
          <w:rPr>
            <w:noProof/>
            <w:webHidden/>
          </w:rPr>
          <w:tab/>
        </w:r>
        <w:r w:rsidR="00093884">
          <w:rPr>
            <w:noProof/>
            <w:webHidden/>
          </w:rPr>
          <w:fldChar w:fldCharType="begin"/>
        </w:r>
        <w:r w:rsidR="00093884">
          <w:rPr>
            <w:noProof/>
            <w:webHidden/>
          </w:rPr>
          <w:instrText xml:space="preserve"> PAGEREF _Toc462655905 \h </w:instrText>
        </w:r>
        <w:r w:rsidR="00093884">
          <w:rPr>
            <w:noProof/>
            <w:webHidden/>
          </w:rPr>
        </w:r>
        <w:r w:rsidR="00093884">
          <w:rPr>
            <w:noProof/>
            <w:webHidden/>
          </w:rPr>
          <w:fldChar w:fldCharType="separate"/>
        </w:r>
        <w:r w:rsidR="00093884">
          <w:rPr>
            <w:noProof/>
            <w:webHidden/>
          </w:rPr>
          <w:t>31</w:t>
        </w:r>
        <w:r w:rsidR="00093884">
          <w:rPr>
            <w:noProof/>
            <w:webHidden/>
          </w:rPr>
          <w:fldChar w:fldCharType="end"/>
        </w:r>
      </w:hyperlink>
    </w:p>
    <w:p w:rsidR="000E6D48" w:rsidRDefault="000E6D48">
      <w:r>
        <w:rPr>
          <w:b/>
          <w:bCs/>
          <w:noProof/>
        </w:rPr>
        <w:fldChar w:fldCharType="end"/>
      </w:r>
    </w:p>
    <w:p w:rsidR="00A04D11" w:rsidRDefault="000E6D48">
      <w:pPr>
        <w:rPr>
          <w:rFonts w:ascii="Arial" w:hAnsi="Arial"/>
          <w:b/>
          <w:sz w:val="24"/>
          <w:u w:val="single"/>
        </w:rPr>
      </w:pPr>
      <w:r>
        <w:rPr>
          <w:rFonts w:ascii="Arial" w:hAnsi="Arial"/>
          <w:b/>
          <w:sz w:val="24"/>
          <w:u w:val="single"/>
        </w:rPr>
        <w:br w:type="page"/>
      </w:r>
    </w:p>
    <w:p w:rsidR="00A04D11" w:rsidRDefault="00A04D11">
      <w:pPr>
        <w:rPr>
          <w:rFonts w:ascii="Arial" w:hAnsi="Arial"/>
          <w:b/>
          <w:sz w:val="24"/>
          <w:u w:val="single"/>
        </w:rPr>
      </w:pPr>
    </w:p>
    <w:p w:rsidR="00685C53" w:rsidRPr="00685C53" w:rsidRDefault="00685C53" w:rsidP="00685C53">
      <w:pPr>
        <w:ind w:left="60"/>
        <w:rPr>
          <w:rFonts w:ascii="Arial" w:hAnsi="Arial"/>
          <w:b/>
          <w:sz w:val="24"/>
          <w:u w:val="single"/>
        </w:rPr>
      </w:pPr>
      <w:r w:rsidRPr="00685C53">
        <w:rPr>
          <w:rFonts w:ascii="Arial" w:hAnsi="Arial"/>
          <w:b/>
          <w:sz w:val="24"/>
          <w:u w:val="single"/>
        </w:rPr>
        <w:t>Summary</w:t>
      </w:r>
    </w:p>
    <w:tbl>
      <w:tblPr>
        <w:tblW w:w="913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2530"/>
        <w:gridCol w:w="6602"/>
      </w:tblGrid>
      <w:tr w:rsidR="00685C53" w:rsidRPr="00685C53" w:rsidTr="00685C53">
        <w:tc>
          <w:tcPr>
            <w:tcW w:w="2530" w:type="dxa"/>
            <w:tcBorders>
              <w:top w:val="single" w:sz="12" w:space="0" w:color="auto"/>
              <w:bottom w:val="single" w:sz="6" w:space="0" w:color="auto"/>
              <w:right w:val="single" w:sz="12" w:space="0" w:color="auto"/>
            </w:tcBorders>
            <w:shd w:val="clear" w:color="auto" w:fill="E6E6E6"/>
          </w:tcPr>
          <w:p w:rsidR="00685C53" w:rsidRPr="00685C53" w:rsidRDefault="00685C53" w:rsidP="00685C53">
            <w:pPr>
              <w:ind w:left="60"/>
              <w:rPr>
                <w:rFonts w:ascii="Arial" w:hAnsi="Arial"/>
                <w:b/>
                <w:sz w:val="24"/>
                <w:u w:val="single"/>
              </w:rPr>
            </w:pPr>
            <w:r w:rsidRPr="00685C53">
              <w:rPr>
                <w:rFonts w:ascii="Arial" w:hAnsi="Arial"/>
                <w:b/>
                <w:sz w:val="24"/>
                <w:u w:val="single"/>
              </w:rPr>
              <w:t>Intended audience:</w:t>
            </w:r>
          </w:p>
        </w:tc>
        <w:tc>
          <w:tcPr>
            <w:tcW w:w="6602" w:type="dxa"/>
            <w:tcBorders>
              <w:top w:val="single" w:sz="12" w:space="0" w:color="auto"/>
              <w:left w:val="single" w:sz="12" w:space="0" w:color="auto"/>
            </w:tcBorders>
          </w:tcPr>
          <w:p w:rsidR="008E2D66" w:rsidRDefault="008E2D66" w:rsidP="00410BD9">
            <w:pPr>
              <w:numPr>
                <w:ilvl w:val="0"/>
                <w:numId w:val="3"/>
              </w:numPr>
              <w:rPr>
                <w:rFonts w:ascii="Arial" w:hAnsi="Arial"/>
                <w:sz w:val="24"/>
              </w:rPr>
            </w:pPr>
            <w:r>
              <w:rPr>
                <w:rFonts w:ascii="Arial" w:hAnsi="Arial"/>
                <w:sz w:val="24"/>
              </w:rPr>
              <w:t>Establishments handling and/or processing scallops including establishments approved for this activity</w:t>
            </w:r>
          </w:p>
          <w:p w:rsidR="00BD22B9" w:rsidRPr="00CB4ECD" w:rsidRDefault="00BD22B9" w:rsidP="00410BD9">
            <w:pPr>
              <w:numPr>
                <w:ilvl w:val="0"/>
                <w:numId w:val="3"/>
              </w:numPr>
              <w:rPr>
                <w:rFonts w:ascii="Arial" w:hAnsi="Arial"/>
                <w:sz w:val="24"/>
              </w:rPr>
            </w:pPr>
            <w:r w:rsidRPr="00CB4ECD">
              <w:rPr>
                <w:rFonts w:ascii="Arial" w:hAnsi="Arial"/>
                <w:sz w:val="24"/>
              </w:rPr>
              <w:t xml:space="preserve">Local Authorities </w:t>
            </w:r>
          </w:p>
          <w:p w:rsidR="00685C53" w:rsidRPr="00CB4ECD" w:rsidRDefault="00685C53" w:rsidP="00410BD9">
            <w:pPr>
              <w:numPr>
                <w:ilvl w:val="0"/>
                <w:numId w:val="3"/>
              </w:numPr>
              <w:rPr>
                <w:rFonts w:ascii="Arial" w:hAnsi="Arial"/>
                <w:sz w:val="24"/>
              </w:rPr>
            </w:pPr>
            <w:r w:rsidRPr="00CB4ECD">
              <w:rPr>
                <w:rFonts w:ascii="Arial" w:hAnsi="Arial"/>
                <w:sz w:val="24"/>
              </w:rPr>
              <w:t>Scallop fishermen</w:t>
            </w:r>
          </w:p>
          <w:p w:rsidR="00685C53" w:rsidRPr="00CB4ECD" w:rsidRDefault="003A5AF4" w:rsidP="00410BD9">
            <w:pPr>
              <w:numPr>
                <w:ilvl w:val="0"/>
                <w:numId w:val="3"/>
              </w:numPr>
              <w:rPr>
                <w:rFonts w:ascii="Arial" w:hAnsi="Arial"/>
                <w:sz w:val="24"/>
              </w:rPr>
            </w:pPr>
            <w:r>
              <w:rPr>
                <w:rFonts w:ascii="Arial" w:hAnsi="Arial"/>
                <w:sz w:val="24"/>
              </w:rPr>
              <w:t>Caterers, retailers and distributers</w:t>
            </w:r>
          </w:p>
        </w:tc>
      </w:tr>
      <w:tr w:rsidR="00685C53" w:rsidRPr="00685C53" w:rsidTr="00685C53">
        <w:tc>
          <w:tcPr>
            <w:tcW w:w="2530" w:type="dxa"/>
            <w:tcBorders>
              <w:top w:val="single" w:sz="6" w:space="0" w:color="auto"/>
              <w:bottom w:val="single" w:sz="6" w:space="0" w:color="auto"/>
              <w:right w:val="single" w:sz="12" w:space="0" w:color="auto"/>
            </w:tcBorders>
            <w:shd w:val="clear" w:color="auto" w:fill="E6E6E6"/>
          </w:tcPr>
          <w:p w:rsidR="00685C53" w:rsidRPr="00685C53" w:rsidRDefault="00685C53" w:rsidP="00685C53">
            <w:pPr>
              <w:ind w:left="60"/>
              <w:rPr>
                <w:rFonts w:ascii="Arial" w:hAnsi="Arial"/>
                <w:b/>
                <w:sz w:val="24"/>
                <w:u w:val="single"/>
              </w:rPr>
            </w:pPr>
            <w:r w:rsidRPr="00685C53">
              <w:rPr>
                <w:rFonts w:ascii="Arial" w:hAnsi="Arial"/>
                <w:b/>
                <w:sz w:val="24"/>
                <w:u w:val="single"/>
              </w:rPr>
              <w:t>Purpose:</w:t>
            </w:r>
          </w:p>
        </w:tc>
        <w:tc>
          <w:tcPr>
            <w:tcW w:w="6602" w:type="dxa"/>
            <w:tcBorders>
              <w:left w:val="single" w:sz="12" w:space="0" w:color="auto"/>
            </w:tcBorders>
          </w:tcPr>
          <w:p w:rsidR="00685C53" w:rsidRPr="00CB4ECD" w:rsidRDefault="00685C53" w:rsidP="00515506">
            <w:pPr>
              <w:ind w:left="60"/>
              <w:jc w:val="both"/>
              <w:rPr>
                <w:rFonts w:ascii="Arial" w:hAnsi="Arial"/>
                <w:sz w:val="24"/>
              </w:rPr>
            </w:pPr>
            <w:r w:rsidRPr="00CB4ECD">
              <w:rPr>
                <w:rFonts w:ascii="Arial" w:hAnsi="Arial"/>
                <w:sz w:val="24"/>
              </w:rPr>
              <w:t>This document provides</w:t>
            </w:r>
            <w:r w:rsidR="00BD22B9" w:rsidRPr="00CB4ECD">
              <w:rPr>
                <w:rFonts w:ascii="Arial" w:hAnsi="Arial"/>
                <w:sz w:val="24"/>
              </w:rPr>
              <w:t xml:space="preserve"> information</w:t>
            </w:r>
            <w:r w:rsidRPr="00CB4ECD">
              <w:rPr>
                <w:rFonts w:ascii="Arial" w:hAnsi="Arial"/>
                <w:sz w:val="24"/>
              </w:rPr>
              <w:t xml:space="preserve"> </w:t>
            </w:r>
            <w:r w:rsidR="00BD22B9" w:rsidRPr="00CB4ECD">
              <w:rPr>
                <w:rFonts w:ascii="Arial" w:hAnsi="Arial"/>
                <w:sz w:val="24"/>
              </w:rPr>
              <w:t>intended to assist enforcement officers and food businesses</w:t>
            </w:r>
            <w:r w:rsidR="003A5AF4">
              <w:rPr>
                <w:rFonts w:ascii="Arial" w:hAnsi="Arial"/>
                <w:sz w:val="24"/>
              </w:rPr>
              <w:t xml:space="preserve"> in the scallop sector</w:t>
            </w:r>
            <w:r w:rsidR="00BD22B9" w:rsidRPr="00CB4ECD">
              <w:rPr>
                <w:rFonts w:ascii="Arial" w:hAnsi="Arial"/>
                <w:sz w:val="24"/>
              </w:rPr>
              <w:t xml:space="preserve"> in order to ensure compliance with </w:t>
            </w:r>
            <w:r w:rsidR="003A5AF4">
              <w:rPr>
                <w:rFonts w:ascii="Arial" w:hAnsi="Arial"/>
                <w:sz w:val="24"/>
              </w:rPr>
              <w:t>toxin standards set out in EC regulation 853/2004.  This guidance replaces the official controls for wild pectinidae guidance issued by Food Standards Agency in Scotland in 2004.</w:t>
            </w:r>
          </w:p>
        </w:tc>
      </w:tr>
      <w:tr w:rsidR="00685C53" w:rsidRPr="00685C53" w:rsidTr="00685C53">
        <w:trPr>
          <w:trHeight w:val="485"/>
        </w:trPr>
        <w:tc>
          <w:tcPr>
            <w:tcW w:w="2530" w:type="dxa"/>
            <w:vMerge w:val="restart"/>
            <w:tcBorders>
              <w:top w:val="single" w:sz="6" w:space="0" w:color="auto"/>
              <w:right w:val="single" w:sz="12" w:space="0" w:color="auto"/>
            </w:tcBorders>
            <w:shd w:val="clear" w:color="auto" w:fill="E6E6E6"/>
          </w:tcPr>
          <w:p w:rsidR="00685C53" w:rsidRPr="00685C53" w:rsidRDefault="00685C53" w:rsidP="00685C53">
            <w:pPr>
              <w:ind w:left="60"/>
              <w:rPr>
                <w:rFonts w:ascii="Arial" w:hAnsi="Arial"/>
                <w:b/>
                <w:sz w:val="24"/>
                <w:u w:val="single"/>
              </w:rPr>
            </w:pPr>
            <w:r w:rsidRPr="00685C53">
              <w:rPr>
                <w:rFonts w:ascii="Arial" w:hAnsi="Arial"/>
                <w:b/>
                <w:sz w:val="24"/>
                <w:u w:val="single"/>
              </w:rPr>
              <w:t>Legal status:</w:t>
            </w:r>
          </w:p>
        </w:tc>
        <w:tc>
          <w:tcPr>
            <w:tcW w:w="6602" w:type="dxa"/>
            <w:tcBorders>
              <w:left w:val="single" w:sz="12" w:space="0" w:color="auto"/>
            </w:tcBorders>
          </w:tcPr>
          <w:p w:rsidR="00685C53" w:rsidRPr="00CB4ECD" w:rsidRDefault="00685C53" w:rsidP="00515506">
            <w:pPr>
              <w:ind w:left="60"/>
              <w:jc w:val="both"/>
              <w:rPr>
                <w:rFonts w:ascii="Arial" w:hAnsi="Arial"/>
                <w:sz w:val="24"/>
              </w:rPr>
            </w:pPr>
            <w:r w:rsidRPr="00CB4ECD">
              <w:rPr>
                <w:rFonts w:ascii="Arial" w:hAnsi="Arial"/>
                <w:sz w:val="24"/>
              </w:rPr>
              <w:t>This document provides guidance on compliance with applicable food hygiene legislation contained within Regulations (EC) No 852/2004 and 853/2004</w:t>
            </w:r>
            <w:r w:rsidR="003A5AF4">
              <w:rPr>
                <w:rFonts w:ascii="Arial" w:hAnsi="Arial"/>
                <w:sz w:val="24"/>
              </w:rPr>
              <w:t>.  However only the courts can decide</w:t>
            </w:r>
            <w:r w:rsidR="00515506">
              <w:rPr>
                <w:rFonts w:ascii="Arial" w:hAnsi="Arial"/>
                <w:sz w:val="24"/>
              </w:rPr>
              <w:t>.</w:t>
            </w:r>
          </w:p>
        </w:tc>
      </w:tr>
      <w:tr w:rsidR="000E099D" w:rsidRPr="00685C53" w:rsidTr="00935437">
        <w:trPr>
          <w:gridAfter w:val="1"/>
          <w:wAfter w:w="6602" w:type="dxa"/>
          <w:trHeight w:val="276"/>
        </w:trPr>
        <w:tc>
          <w:tcPr>
            <w:tcW w:w="2530" w:type="dxa"/>
            <w:vMerge/>
            <w:tcBorders>
              <w:bottom w:val="single" w:sz="6" w:space="0" w:color="auto"/>
              <w:right w:val="single" w:sz="12" w:space="0" w:color="auto"/>
            </w:tcBorders>
            <w:shd w:val="clear" w:color="auto" w:fill="E6E6E6"/>
          </w:tcPr>
          <w:p w:rsidR="000E099D" w:rsidRPr="00685C53" w:rsidRDefault="000E099D" w:rsidP="00685C53">
            <w:pPr>
              <w:ind w:left="60"/>
              <w:rPr>
                <w:rFonts w:ascii="Arial" w:hAnsi="Arial"/>
                <w:b/>
                <w:sz w:val="24"/>
                <w:u w:val="single"/>
              </w:rPr>
            </w:pPr>
          </w:p>
        </w:tc>
      </w:tr>
      <w:tr w:rsidR="00685C53" w:rsidRPr="00685C53" w:rsidTr="00685C53">
        <w:tc>
          <w:tcPr>
            <w:tcW w:w="2530" w:type="dxa"/>
            <w:tcBorders>
              <w:top w:val="single" w:sz="6" w:space="0" w:color="auto"/>
              <w:bottom w:val="single" w:sz="6" w:space="0" w:color="auto"/>
              <w:right w:val="single" w:sz="12" w:space="0" w:color="auto"/>
            </w:tcBorders>
            <w:shd w:val="clear" w:color="auto" w:fill="E6E6E6"/>
          </w:tcPr>
          <w:p w:rsidR="00685C53" w:rsidRPr="00685C53" w:rsidRDefault="00685C53" w:rsidP="00685C53">
            <w:pPr>
              <w:ind w:left="60"/>
              <w:rPr>
                <w:rFonts w:ascii="Arial" w:hAnsi="Arial"/>
                <w:b/>
                <w:sz w:val="24"/>
                <w:u w:val="single"/>
              </w:rPr>
            </w:pPr>
            <w:r w:rsidRPr="00685C53">
              <w:rPr>
                <w:rFonts w:ascii="Arial" w:hAnsi="Arial"/>
                <w:b/>
                <w:sz w:val="24"/>
                <w:u w:val="single"/>
              </w:rPr>
              <w:t>Key words:</w:t>
            </w:r>
          </w:p>
        </w:tc>
        <w:tc>
          <w:tcPr>
            <w:tcW w:w="6602" w:type="dxa"/>
            <w:tcBorders>
              <w:left w:val="single" w:sz="12" w:space="0" w:color="auto"/>
            </w:tcBorders>
            <w:shd w:val="clear" w:color="auto" w:fill="FFFFFF"/>
          </w:tcPr>
          <w:p w:rsidR="00685C53" w:rsidRPr="00CB4ECD" w:rsidRDefault="00685C53" w:rsidP="00410BD9">
            <w:pPr>
              <w:numPr>
                <w:ilvl w:val="0"/>
                <w:numId w:val="3"/>
              </w:numPr>
              <w:rPr>
                <w:rFonts w:ascii="Arial" w:hAnsi="Arial"/>
                <w:sz w:val="24"/>
              </w:rPr>
            </w:pPr>
            <w:r w:rsidRPr="00CB4ECD">
              <w:rPr>
                <w:rFonts w:ascii="Arial" w:hAnsi="Arial"/>
                <w:sz w:val="24"/>
              </w:rPr>
              <w:t>Shellfish, Live Bivalve Molluscs</w:t>
            </w:r>
          </w:p>
          <w:p w:rsidR="00685C53" w:rsidRPr="00CB4ECD" w:rsidRDefault="00685C53" w:rsidP="00410BD9">
            <w:pPr>
              <w:numPr>
                <w:ilvl w:val="0"/>
                <w:numId w:val="3"/>
              </w:numPr>
              <w:rPr>
                <w:rFonts w:ascii="Arial" w:hAnsi="Arial"/>
                <w:sz w:val="24"/>
              </w:rPr>
            </w:pPr>
            <w:r w:rsidRPr="00CB4ECD">
              <w:rPr>
                <w:rFonts w:ascii="Arial" w:hAnsi="Arial"/>
                <w:sz w:val="24"/>
              </w:rPr>
              <w:t>Food law, monitoring and controls</w:t>
            </w:r>
          </w:p>
          <w:p w:rsidR="00685C53" w:rsidRPr="00CB4ECD" w:rsidRDefault="00685C53" w:rsidP="00410BD9">
            <w:pPr>
              <w:numPr>
                <w:ilvl w:val="0"/>
                <w:numId w:val="3"/>
              </w:numPr>
              <w:rPr>
                <w:rFonts w:ascii="Arial" w:hAnsi="Arial"/>
                <w:sz w:val="24"/>
              </w:rPr>
            </w:pPr>
            <w:r w:rsidRPr="00CB4ECD">
              <w:rPr>
                <w:rFonts w:ascii="Arial" w:hAnsi="Arial"/>
                <w:sz w:val="24"/>
              </w:rPr>
              <w:t>Hygiene and food safety</w:t>
            </w:r>
          </w:p>
          <w:p w:rsidR="00685C53" w:rsidRPr="00CB4ECD" w:rsidRDefault="00685C53" w:rsidP="00410BD9">
            <w:pPr>
              <w:numPr>
                <w:ilvl w:val="0"/>
                <w:numId w:val="3"/>
              </w:numPr>
              <w:rPr>
                <w:rFonts w:ascii="Arial" w:hAnsi="Arial"/>
                <w:sz w:val="24"/>
              </w:rPr>
            </w:pPr>
            <w:r w:rsidRPr="00CB4ECD">
              <w:rPr>
                <w:rFonts w:ascii="Arial" w:hAnsi="Arial"/>
                <w:sz w:val="24"/>
              </w:rPr>
              <w:t>Scallops</w:t>
            </w:r>
          </w:p>
          <w:p w:rsidR="00685C53" w:rsidRDefault="000E099D" w:rsidP="00410BD9">
            <w:pPr>
              <w:numPr>
                <w:ilvl w:val="0"/>
                <w:numId w:val="3"/>
              </w:numPr>
              <w:rPr>
                <w:rFonts w:ascii="Arial" w:hAnsi="Arial"/>
                <w:sz w:val="24"/>
              </w:rPr>
            </w:pPr>
            <w:r w:rsidRPr="00CB4ECD">
              <w:rPr>
                <w:rFonts w:ascii="Arial" w:hAnsi="Arial"/>
                <w:sz w:val="24"/>
              </w:rPr>
              <w:t>S</w:t>
            </w:r>
            <w:r w:rsidR="00685C53" w:rsidRPr="00CB4ECD">
              <w:rPr>
                <w:rFonts w:ascii="Arial" w:hAnsi="Arial"/>
                <w:sz w:val="24"/>
              </w:rPr>
              <w:t>hucking</w:t>
            </w:r>
          </w:p>
          <w:p w:rsidR="000E099D" w:rsidRDefault="003A5AF4" w:rsidP="00410BD9">
            <w:pPr>
              <w:numPr>
                <w:ilvl w:val="0"/>
                <w:numId w:val="3"/>
              </w:numPr>
              <w:rPr>
                <w:rFonts w:ascii="Arial" w:hAnsi="Arial"/>
                <w:sz w:val="24"/>
              </w:rPr>
            </w:pPr>
            <w:r>
              <w:rPr>
                <w:rFonts w:ascii="Arial" w:hAnsi="Arial"/>
                <w:sz w:val="24"/>
              </w:rPr>
              <w:t>B</w:t>
            </w:r>
            <w:r w:rsidR="000E099D">
              <w:rPr>
                <w:rFonts w:ascii="Arial" w:hAnsi="Arial"/>
                <w:sz w:val="24"/>
              </w:rPr>
              <w:t>iotoxins</w:t>
            </w:r>
          </w:p>
          <w:p w:rsidR="003A5AF4" w:rsidRPr="00CB4ECD" w:rsidDel="00D42A9E" w:rsidRDefault="003A5AF4" w:rsidP="00410BD9">
            <w:pPr>
              <w:numPr>
                <w:ilvl w:val="0"/>
                <w:numId w:val="3"/>
              </w:numPr>
              <w:rPr>
                <w:rFonts w:ascii="Arial" w:hAnsi="Arial"/>
                <w:sz w:val="24"/>
              </w:rPr>
            </w:pPr>
            <w:r>
              <w:rPr>
                <w:rFonts w:ascii="Arial" w:hAnsi="Arial"/>
                <w:sz w:val="24"/>
              </w:rPr>
              <w:t>caterers</w:t>
            </w:r>
          </w:p>
        </w:tc>
      </w:tr>
      <w:tr w:rsidR="00685C53" w:rsidRPr="00685C53" w:rsidTr="00685C53">
        <w:tc>
          <w:tcPr>
            <w:tcW w:w="2530" w:type="dxa"/>
            <w:tcBorders>
              <w:top w:val="single" w:sz="6" w:space="0" w:color="auto"/>
              <w:bottom w:val="single" w:sz="12" w:space="0" w:color="auto"/>
              <w:right w:val="single" w:sz="12" w:space="0" w:color="auto"/>
            </w:tcBorders>
            <w:shd w:val="clear" w:color="auto" w:fill="E6E6E6"/>
          </w:tcPr>
          <w:p w:rsidR="00685C53" w:rsidRPr="00685C53" w:rsidRDefault="00685C53" w:rsidP="00685C53">
            <w:pPr>
              <w:ind w:left="60"/>
              <w:rPr>
                <w:rFonts w:ascii="Arial" w:hAnsi="Arial"/>
                <w:b/>
                <w:sz w:val="24"/>
                <w:u w:val="single"/>
              </w:rPr>
            </w:pPr>
            <w:r w:rsidRPr="00685C53">
              <w:rPr>
                <w:rFonts w:ascii="Arial" w:hAnsi="Arial"/>
                <w:b/>
                <w:sz w:val="24"/>
                <w:u w:val="single"/>
              </w:rPr>
              <w:t>Review date:</w:t>
            </w:r>
          </w:p>
        </w:tc>
        <w:tc>
          <w:tcPr>
            <w:tcW w:w="6602" w:type="dxa"/>
            <w:tcBorders>
              <w:left w:val="single" w:sz="12" w:space="0" w:color="auto"/>
            </w:tcBorders>
            <w:shd w:val="clear" w:color="auto" w:fill="FFFFFF"/>
          </w:tcPr>
          <w:p w:rsidR="00685C53" w:rsidRPr="00CB4ECD" w:rsidDel="00D42A9E" w:rsidRDefault="00685C53" w:rsidP="005D408B">
            <w:pPr>
              <w:ind w:left="60"/>
              <w:rPr>
                <w:rFonts w:ascii="Arial" w:hAnsi="Arial"/>
                <w:sz w:val="24"/>
              </w:rPr>
            </w:pPr>
            <w:r w:rsidRPr="00CB4ECD">
              <w:rPr>
                <w:rFonts w:ascii="Arial" w:hAnsi="Arial"/>
                <w:sz w:val="24"/>
              </w:rPr>
              <w:t xml:space="preserve">This guidance will be reviewed in </w:t>
            </w:r>
            <w:r w:rsidR="00BD22B9" w:rsidRPr="00CB4ECD">
              <w:rPr>
                <w:rFonts w:ascii="Arial" w:hAnsi="Arial"/>
                <w:sz w:val="24"/>
              </w:rPr>
              <w:t>[]</w:t>
            </w:r>
          </w:p>
        </w:tc>
      </w:tr>
    </w:tbl>
    <w:p w:rsidR="0066791F" w:rsidRDefault="0066791F" w:rsidP="00685C53">
      <w:pPr>
        <w:ind w:left="60"/>
        <w:rPr>
          <w:rFonts w:ascii="Arial" w:hAnsi="Arial"/>
          <w:b/>
          <w:sz w:val="24"/>
          <w:u w:val="single"/>
        </w:rPr>
      </w:pPr>
    </w:p>
    <w:p w:rsidR="00685C53" w:rsidRPr="00685C53" w:rsidRDefault="0066791F" w:rsidP="0066791F">
      <w:r>
        <w:br w:type="page"/>
      </w:r>
    </w:p>
    <w:p w:rsidR="00A04D11" w:rsidRDefault="00A04D11">
      <w:pPr>
        <w:ind w:left="60"/>
        <w:rPr>
          <w:rFonts w:ascii="Arial" w:hAnsi="Arial"/>
          <w:b/>
          <w:sz w:val="24"/>
          <w:u w:val="single"/>
        </w:rPr>
      </w:pPr>
    </w:p>
    <w:p w:rsidR="00685C53" w:rsidRPr="00CC0BB8" w:rsidRDefault="00685C53" w:rsidP="00685C53">
      <w:pPr>
        <w:pStyle w:val="Heading1"/>
      </w:pPr>
      <w:bookmarkStart w:id="0" w:name="_Toc462655879"/>
      <w:r>
        <w:t>Revision history</w:t>
      </w:r>
      <w:bookmarkEnd w:id="0"/>
    </w:p>
    <w:p w:rsidR="00685C53" w:rsidRDefault="00685C53" w:rsidP="00685C53">
      <w:pPr>
        <w:pStyle w:val="BomText"/>
        <w:jc w:val="left"/>
        <w:rPr>
          <w:sz w:val="22"/>
        </w:rPr>
      </w:pPr>
    </w:p>
    <w:tbl>
      <w:tblPr>
        <w:tblpPr w:leftFromText="180" w:rightFromText="180" w:vertAnchor="text" w:horzAnchor="margin" w:tblpY="298"/>
        <w:tblW w:w="92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1E0" w:firstRow="1" w:lastRow="1" w:firstColumn="1" w:lastColumn="1" w:noHBand="0" w:noVBand="0"/>
      </w:tblPr>
      <w:tblGrid>
        <w:gridCol w:w="1265"/>
        <w:gridCol w:w="2063"/>
        <w:gridCol w:w="3220"/>
        <w:gridCol w:w="2652"/>
      </w:tblGrid>
      <w:tr w:rsidR="00685C53" w:rsidRPr="000B543F" w:rsidTr="00685C53">
        <w:tc>
          <w:tcPr>
            <w:tcW w:w="1265" w:type="dxa"/>
            <w:shd w:val="clear" w:color="auto" w:fill="E6E6E6"/>
          </w:tcPr>
          <w:p w:rsidR="00685C53" w:rsidRPr="004C4025" w:rsidRDefault="00685C53" w:rsidP="00685C53">
            <w:pPr>
              <w:pStyle w:val="TableText"/>
              <w:jc w:val="center"/>
              <w:rPr>
                <w:b/>
                <w:sz w:val="22"/>
                <w:szCs w:val="22"/>
              </w:rPr>
            </w:pPr>
            <w:r w:rsidRPr="004C4025">
              <w:rPr>
                <w:b/>
                <w:sz w:val="22"/>
                <w:szCs w:val="22"/>
              </w:rPr>
              <w:t>Revision</w:t>
            </w:r>
          </w:p>
          <w:p w:rsidR="00685C53" w:rsidRPr="004C4025" w:rsidRDefault="00685C53" w:rsidP="00685C53">
            <w:pPr>
              <w:pStyle w:val="TableText"/>
              <w:jc w:val="center"/>
              <w:rPr>
                <w:b/>
                <w:sz w:val="22"/>
                <w:szCs w:val="22"/>
              </w:rPr>
            </w:pPr>
            <w:r w:rsidRPr="004C4025">
              <w:rPr>
                <w:b/>
                <w:sz w:val="22"/>
                <w:szCs w:val="22"/>
              </w:rPr>
              <w:t>No.</w:t>
            </w:r>
          </w:p>
        </w:tc>
        <w:tc>
          <w:tcPr>
            <w:tcW w:w="2063" w:type="dxa"/>
            <w:shd w:val="clear" w:color="auto" w:fill="E6E6E6"/>
          </w:tcPr>
          <w:p w:rsidR="00685C53" w:rsidRPr="004C4025" w:rsidRDefault="00685C53" w:rsidP="00685C53">
            <w:pPr>
              <w:pStyle w:val="TableText"/>
              <w:jc w:val="center"/>
              <w:rPr>
                <w:b/>
                <w:sz w:val="22"/>
                <w:szCs w:val="22"/>
              </w:rPr>
            </w:pPr>
            <w:r w:rsidRPr="004C4025">
              <w:rPr>
                <w:b/>
                <w:sz w:val="22"/>
                <w:szCs w:val="22"/>
              </w:rPr>
              <w:t>Revision date</w:t>
            </w:r>
          </w:p>
        </w:tc>
        <w:tc>
          <w:tcPr>
            <w:tcW w:w="3220" w:type="dxa"/>
            <w:shd w:val="clear" w:color="auto" w:fill="E6E6E6"/>
          </w:tcPr>
          <w:p w:rsidR="00685C53" w:rsidRPr="004C4025" w:rsidRDefault="00685C53" w:rsidP="00685C53">
            <w:pPr>
              <w:pStyle w:val="TableText"/>
              <w:jc w:val="center"/>
              <w:rPr>
                <w:b/>
                <w:sz w:val="22"/>
                <w:szCs w:val="22"/>
              </w:rPr>
            </w:pPr>
            <w:r w:rsidRPr="004C4025">
              <w:rPr>
                <w:b/>
                <w:sz w:val="22"/>
                <w:szCs w:val="22"/>
              </w:rPr>
              <w:t>Purpose of revision</w:t>
            </w:r>
            <w:r>
              <w:rPr>
                <w:b/>
                <w:sz w:val="22"/>
                <w:szCs w:val="22"/>
              </w:rPr>
              <w:t xml:space="preserve"> and paragraph number</w:t>
            </w:r>
          </w:p>
        </w:tc>
        <w:tc>
          <w:tcPr>
            <w:tcW w:w="2652" w:type="dxa"/>
            <w:shd w:val="clear" w:color="auto" w:fill="E6E6E6"/>
          </w:tcPr>
          <w:p w:rsidR="00685C53" w:rsidRPr="004C4025" w:rsidRDefault="00685C53" w:rsidP="00685C53">
            <w:pPr>
              <w:pStyle w:val="TableText"/>
              <w:jc w:val="center"/>
              <w:rPr>
                <w:b/>
                <w:sz w:val="22"/>
                <w:szCs w:val="22"/>
              </w:rPr>
            </w:pPr>
            <w:r w:rsidRPr="004C4025">
              <w:rPr>
                <w:b/>
                <w:sz w:val="22"/>
                <w:szCs w:val="22"/>
              </w:rPr>
              <w:t>Revised by</w:t>
            </w:r>
            <w:r>
              <w:rPr>
                <w:b/>
                <w:sz w:val="22"/>
                <w:szCs w:val="22"/>
              </w:rPr>
              <w:t xml:space="preserve"> </w:t>
            </w:r>
          </w:p>
        </w:tc>
      </w:tr>
      <w:tr w:rsidR="00685C53" w:rsidRPr="00BA1495" w:rsidTr="00685C53">
        <w:tc>
          <w:tcPr>
            <w:tcW w:w="1265" w:type="dxa"/>
            <w:vAlign w:val="center"/>
          </w:tcPr>
          <w:p w:rsidR="00685C53" w:rsidRPr="004C4025" w:rsidRDefault="00685C53" w:rsidP="00685C53">
            <w:pPr>
              <w:pStyle w:val="TableText"/>
              <w:jc w:val="center"/>
              <w:rPr>
                <w:sz w:val="22"/>
                <w:szCs w:val="22"/>
              </w:rPr>
            </w:pPr>
          </w:p>
        </w:tc>
        <w:tc>
          <w:tcPr>
            <w:tcW w:w="2063" w:type="dxa"/>
            <w:vAlign w:val="center"/>
          </w:tcPr>
          <w:p w:rsidR="00685C53" w:rsidRPr="004C4025" w:rsidRDefault="00685C53" w:rsidP="00685C53">
            <w:pPr>
              <w:pStyle w:val="TableText"/>
              <w:jc w:val="center"/>
              <w:rPr>
                <w:sz w:val="22"/>
                <w:szCs w:val="22"/>
              </w:rPr>
            </w:pPr>
          </w:p>
        </w:tc>
        <w:tc>
          <w:tcPr>
            <w:tcW w:w="3220" w:type="dxa"/>
            <w:vAlign w:val="center"/>
          </w:tcPr>
          <w:p w:rsidR="00685C53" w:rsidRPr="004C4025" w:rsidRDefault="00685C53" w:rsidP="00685C53">
            <w:pPr>
              <w:pStyle w:val="TableText"/>
              <w:ind w:left="420"/>
              <w:rPr>
                <w:sz w:val="22"/>
                <w:szCs w:val="22"/>
              </w:rPr>
            </w:pPr>
          </w:p>
        </w:tc>
        <w:tc>
          <w:tcPr>
            <w:tcW w:w="2652" w:type="dxa"/>
            <w:vAlign w:val="center"/>
          </w:tcPr>
          <w:p w:rsidR="00685C53" w:rsidRPr="004C4025" w:rsidRDefault="00685C53" w:rsidP="00685C53">
            <w:pPr>
              <w:pStyle w:val="TableText"/>
              <w:jc w:val="center"/>
              <w:rPr>
                <w:sz w:val="22"/>
                <w:szCs w:val="22"/>
              </w:rPr>
            </w:pPr>
          </w:p>
        </w:tc>
      </w:tr>
    </w:tbl>
    <w:p w:rsidR="0066791F" w:rsidRDefault="0066791F" w:rsidP="00685C53">
      <w:pPr>
        <w:pStyle w:val="BomText"/>
      </w:pPr>
    </w:p>
    <w:p w:rsidR="00685C53" w:rsidRPr="00BA1495" w:rsidRDefault="0066791F" w:rsidP="0066791F">
      <w:r>
        <w:br w:type="page"/>
      </w:r>
    </w:p>
    <w:p w:rsidR="0066791F" w:rsidRPr="00F07044" w:rsidRDefault="0066791F" w:rsidP="0066791F">
      <w:pPr>
        <w:pStyle w:val="FSAGuidanceHeading2"/>
      </w:pPr>
      <w:bookmarkStart w:id="1" w:name="_Toc266260101"/>
      <w:bookmarkStart w:id="2" w:name="_Toc348690741"/>
      <w:bookmarkStart w:id="3" w:name="_Toc462655880"/>
      <w:bookmarkStart w:id="4" w:name="_Ref152558343"/>
      <w:bookmarkStart w:id="5" w:name="_Ref151284232"/>
      <w:bookmarkStart w:id="6" w:name="_Ref161475229"/>
      <w:bookmarkStart w:id="7" w:name="_Ref161475233"/>
      <w:bookmarkStart w:id="8" w:name="_Ref161475378"/>
      <w:bookmarkStart w:id="9" w:name="_Ref165195609"/>
      <w:bookmarkStart w:id="10" w:name="_Ref165195717"/>
      <w:r>
        <w:t xml:space="preserve">General </w:t>
      </w:r>
      <w:r w:rsidRPr="0066791F">
        <w:t>Int</w:t>
      </w:r>
      <w:bookmarkEnd w:id="1"/>
      <w:r w:rsidRPr="0066791F">
        <w:t>roduction</w:t>
      </w:r>
      <w:bookmarkEnd w:id="2"/>
      <w:bookmarkEnd w:id="3"/>
    </w:p>
    <w:p w:rsidR="0066791F" w:rsidRDefault="0066791F" w:rsidP="00935437">
      <w:pPr>
        <w:pStyle w:val="BomTextInd"/>
        <w:tabs>
          <w:tab w:val="clear" w:pos="1701"/>
          <w:tab w:val="clear" w:pos="1843"/>
          <w:tab w:val="left" w:pos="851"/>
        </w:tabs>
        <w:ind w:left="851" w:hanging="568"/>
      </w:pPr>
      <w:r>
        <w:t xml:space="preserve">Shellfish </w:t>
      </w:r>
      <w:r w:rsidR="005F3FA7">
        <w:t xml:space="preserve">contaminated with </w:t>
      </w:r>
      <w:r>
        <w:t xml:space="preserve">biotoxins can make people ill and in some cases can result in fatalities.  That is why it is important that the risks associated with biotoxins in </w:t>
      </w:r>
      <w:r w:rsidR="00546667">
        <w:t xml:space="preserve">all </w:t>
      </w:r>
      <w:r>
        <w:t xml:space="preserve">live bivalve molluscs (LBMs; or filter-feeding shellfish) are managed appropriately by everyone involved in the supply chain.  </w:t>
      </w:r>
    </w:p>
    <w:p w:rsidR="002F0E9A" w:rsidRDefault="008E2D66" w:rsidP="00A36F5A">
      <w:pPr>
        <w:pStyle w:val="BomTextInd"/>
        <w:tabs>
          <w:tab w:val="clear" w:pos="1701"/>
          <w:tab w:val="clear" w:pos="1843"/>
          <w:tab w:val="left" w:pos="851"/>
        </w:tabs>
        <w:ind w:left="851" w:hanging="568"/>
      </w:pPr>
      <w:r>
        <w:t>T</w:t>
      </w:r>
      <w:r w:rsidR="00BD22B9">
        <w:t xml:space="preserve">he </w:t>
      </w:r>
      <w:r w:rsidR="003A5AF4">
        <w:t xml:space="preserve">delivery </w:t>
      </w:r>
      <w:r w:rsidR="00BD22B9">
        <w:t xml:space="preserve">of official controls applicable to the </w:t>
      </w:r>
      <w:r w:rsidR="00547A5A">
        <w:t xml:space="preserve">wild </w:t>
      </w:r>
      <w:r w:rsidR="00BD22B9">
        <w:t xml:space="preserve">scallop </w:t>
      </w:r>
      <w:r w:rsidR="005F3FA7">
        <w:t xml:space="preserve">(pectinidae) </w:t>
      </w:r>
      <w:r w:rsidR="00BD22B9">
        <w:t xml:space="preserve">sector </w:t>
      </w:r>
      <w:r>
        <w:t xml:space="preserve">is </w:t>
      </w:r>
      <w:r w:rsidR="00546667">
        <w:t xml:space="preserve">usually </w:t>
      </w:r>
      <w:r w:rsidR="00C21EF0">
        <w:t>land based</w:t>
      </w:r>
      <w:r w:rsidR="00546667">
        <w:t xml:space="preserve">.  </w:t>
      </w:r>
      <w:r w:rsidR="005F3FA7" w:rsidRPr="005F3FA7">
        <w:t xml:space="preserve">Unlike the active monitoring programmes in place for other LBM species which are required to be grown to maturity and harvested from areas classified by the </w:t>
      </w:r>
      <w:r w:rsidR="005F3FA7">
        <w:t>competent authority</w:t>
      </w:r>
      <w:r w:rsidR="005F3FA7" w:rsidRPr="005F3FA7">
        <w:t xml:space="preserve">, there is no offshore monitoring of scallop fishing areas by FSS. </w:t>
      </w:r>
      <w:r w:rsidR="00093884">
        <w:t>This is because</w:t>
      </w:r>
      <w:r w:rsidR="00BD22B9">
        <w:t xml:space="preserve"> </w:t>
      </w:r>
      <w:r w:rsidR="003A5AF4">
        <w:t xml:space="preserve">the legislative framework </w:t>
      </w:r>
      <w:r w:rsidR="00F22B69">
        <w:t xml:space="preserve">for scallops </w:t>
      </w:r>
      <w:r w:rsidR="005F3FA7">
        <w:t xml:space="preserve">harvested outside classified areas </w:t>
      </w:r>
      <w:r w:rsidR="003A5AF4">
        <w:t>allows for a system of land-based controls for pectinidae.  U</w:t>
      </w:r>
      <w:r w:rsidR="00BD22B9">
        <w:t>nlike other species</w:t>
      </w:r>
      <w:r w:rsidR="00547A5A">
        <w:t xml:space="preserve"> of LBM</w:t>
      </w:r>
      <w:r w:rsidR="00BD22B9">
        <w:t xml:space="preserve">, the risks associated with </w:t>
      </w:r>
      <w:r w:rsidR="00547A5A">
        <w:t>bio</w:t>
      </w:r>
      <w:r w:rsidR="00CB4ECD">
        <w:t xml:space="preserve">toxins in scallops are significantly </w:t>
      </w:r>
      <w:r w:rsidR="00BD22B9">
        <w:t>reduced</w:t>
      </w:r>
      <w:r w:rsidR="00C21EF0">
        <w:t xml:space="preserve"> by removing the gut </w:t>
      </w:r>
      <w:r w:rsidR="00547A5A">
        <w:t xml:space="preserve">of the animal </w:t>
      </w:r>
      <w:r w:rsidR="00C21EF0">
        <w:t xml:space="preserve">– a process of evisceration known as </w:t>
      </w:r>
      <w:r w:rsidR="00C21EF0" w:rsidRPr="00F22B69">
        <w:rPr>
          <w:u w:val="single"/>
        </w:rPr>
        <w:t>shucking</w:t>
      </w:r>
      <w:r w:rsidR="001919D1">
        <w:t xml:space="preserve"> – </w:t>
      </w:r>
      <w:r w:rsidR="00093884">
        <w:t xml:space="preserve">which includes </w:t>
      </w:r>
      <w:r w:rsidR="001919D1">
        <w:t>rigorous washing</w:t>
      </w:r>
      <w:r w:rsidR="00093884">
        <w:t xml:space="preserve"> in order to remove any toxins left in the gut loop</w:t>
      </w:r>
      <w:r w:rsidR="001919D1">
        <w:t xml:space="preserve">.  </w:t>
      </w:r>
    </w:p>
    <w:p w:rsidR="0066791F" w:rsidRPr="00EB124A" w:rsidRDefault="00C21EF0" w:rsidP="003A5AF4">
      <w:pPr>
        <w:pStyle w:val="BomTextInd"/>
        <w:tabs>
          <w:tab w:val="clear" w:pos="1701"/>
          <w:tab w:val="clear" w:pos="1843"/>
          <w:tab w:val="left" w:pos="851"/>
        </w:tabs>
        <w:ind w:left="851" w:hanging="568"/>
      </w:pPr>
      <w:r>
        <w:t xml:space="preserve">For </w:t>
      </w:r>
      <w:r w:rsidR="000E099D">
        <w:t xml:space="preserve">food </w:t>
      </w:r>
      <w:r>
        <w:t>business</w:t>
      </w:r>
      <w:r w:rsidR="000E099D">
        <w:t xml:space="preserve"> operators (FBOs)</w:t>
      </w:r>
      <w:r>
        <w:t xml:space="preserve"> selling </w:t>
      </w:r>
      <w:r w:rsidRPr="002F0E9A">
        <w:rPr>
          <w:u w:val="single"/>
        </w:rPr>
        <w:t>whole</w:t>
      </w:r>
      <w:r>
        <w:t xml:space="preserve"> scal</w:t>
      </w:r>
      <w:r w:rsidR="008D6DAA">
        <w:t xml:space="preserve">lops, </w:t>
      </w:r>
      <w:r w:rsidR="001919D1">
        <w:t xml:space="preserve">rigorous end product testing </w:t>
      </w:r>
      <w:r w:rsidR="002F0E9A" w:rsidRPr="00935437">
        <w:rPr>
          <w:b/>
          <w:u w:val="single"/>
        </w:rPr>
        <w:t>must</w:t>
      </w:r>
      <w:r w:rsidR="002F0E9A">
        <w:t xml:space="preserve"> </w:t>
      </w:r>
      <w:r w:rsidR="001919D1">
        <w:t>be in place</w:t>
      </w:r>
      <w:r w:rsidR="008D6DAA">
        <w:t xml:space="preserve"> as an integral part </w:t>
      </w:r>
      <w:r>
        <w:t>of their food safety management system.</w:t>
      </w:r>
      <w:r w:rsidR="003A5AF4">
        <w:t xml:space="preserve">  </w:t>
      </w:r>
      <w:r w:rsidR="00A36F5A">
        <w:t xml:space="preserve"> </w:t>
      </w:r>
      <w:r w:rsidR="00646766">
        <w:t xml:space="preserve">Essentially the regulations require that businesses </w:t>
      </w:r>
      <w:r w:rsidR="00F22B69">
        <w:t xml:space="preserve">ensure food </w:t>
      </w:r>
      <w:r w:rsidR="00A36F5A">
        <w:t>sa</w:t>
      </w:r>
      <w:r w:rsidR="00F22B69">
        <w:t xml:space="preserve">fety </w:t>
      </w:r>
      <w:r w:rsidR="00646766">
        <w:t>“</w:t>
      </w:r>
      <w:r w:rsidR="00646766" w:rsidRPr="00A36F5A">
        <w:t>as</w:t>
      </w:r>
      <w:r w:rsidR="003A5AF4" w:rsidRPr="0036266E">
        <w:rPr>
          <w:u w:val="single"/>
        </w:rPr>
        <w:t xml:space="preserve"> </w:t>
      </w:r>
      <w:r w:rsidR="003A5AF4" w:rsidRPr="0036266E">
        <w:rPr>
          <w:b/>
          <w:u w:val="single"/>
        </w:rPr>
        <w:t>proved</w:t>
      </w:r>
      <w:r w:rsidR="003A5AF4" w:rsidRPr="0036266E">
        <w:rPr>
          <w:u w:val="single"/>
        </w:rPr>
        <w:t xml:space="preserve"> by a system of own checks</w:t>
      </w:r>
      <w:r w:rsidR="003A5AF4" w:rsidRPr="003A5AF4">
        <w:t>”</w:t>
      </w:r>
      <w:r w:rsidR="00646766" w:rsidRPr="00646766">
        <w:rPr>
          <w:rStyle w:val="FootnoteReference"/>
        </w:rPr>
        <w:t xml:space="preserve"> </w:t>
      </w:r>
      <w:r w:rsidR="00646766">
        <w:rPr>
          <w:rStyle w:val="FootnoteReference"/>
        </w:rPr>
        <w:footnoteReference w:id="2"/>
      </w:r>
      <w:r w:rsidR="003A5AF4" w:rsidRPr="003A5AF4">
        <w:t>.</w:t>
      </w:r>
      <w:r w:rsidR="00093884">
        <w:t xml:space="preserve">  </w:t>
      </w:r>
      <w:r w:rsidR="00F22B69">
        <w:t xml:space="preserve">All businesses, other than those to which specific exemptions apply (see Section 3), are assumed to require approval.   </w:t>
      </w:r>
      <w:r w:rsidR="00093884">
        <w:t>This guidance document therefore outlines both the requirements for approval and for operators considered to qualify for non-approved status (direct sale to the local market).</w:t>
      </w:r>
    </w:p>
    <w:p w:rsidR="0066791F" w:rsidRDefault="0066791F" w:rsidP="00935437">
      <w:pPr>
        <w:pStyle w:val="BomTextInd"/>
        <w:tabs>
          <w:tab w:val="clear" w:pos="1701"/>
          <w:tab w:val="clear" w:pos="1843"/>
          <w:tab w:val="left" w:pos="851"/>
        </w:tabs>
        <w:ind w:left="851" w:hanging="568"/>
      </w:pPr>
      <w:r>
        <w:t xml:space="preserve">This guidance is intended to provide a framework to assist </w:t>
      </w:r>
      <w:r w:rsidR="00C21EF0">
        <w:t xml:space="preserve">all those involved in the </w:t>
      </w:r>
      <w:r>
        <w:t xml:space="preserve">production, processing and </w:t>
      </w:r>
      <w:r w:rsidR="00410515">
        <w:t xml:space="preserve">enforcement regarding the </w:t>
      </w:r>
      <w:r>
        <w:t xml:space="preserve">sale of </w:t>
      </w:r>
      <w:r w:rsidR="00C21EF0" w:rsidRPr="00935437">
        <w:rPr>
          <w:b/>
        </w:rPr>
        <w:t>whole or shucked scallops</w:t>
      </w:r>
      <w:r>
        <w:t xml:space="preserve"> to assess the biotoxin risks associated with their products</w:t>
      </w:r>
      <w:r w:rsidR="00547A5A">
        <w:t xml:space="preserve">. The guidance will assist </w:t>
      </w:r>
      <w:r>
        <w:t xml:space="preserve">them in </w:t>
      </w:r>
      <w:r w:rsidR="004324EE">
        <w:t>developing their HA</w:t>
      </w:r>
      <w:r w:rsidR="000E099D">
        <w:t>C</w:t>
      </w:r>
      <w:r w:rsidR="004324EE">
        <w:t>CP</w:t>
      </w:r>
      <w:r w:rsidR="00A36F5A">
        <w:t xml:space="preserve"> </w:t>
      </w:r>
      <w:r w:rsidR="00411702">
        <w:t xml:space="preserve">system </w:t>
      </w:r>
      <w:r w:rsidR="004324EE">
        <w:t xml:space="preserve">and </w:t>
      </w:r>
      <w:r>
        <w:t xml:space="preserve">design </w:t>
      </w:r>
      <w:r w:rsidR="004324EE">
        <w:t xml:space="preserve">their supporting </w:t>
      </w:r>
      <w:r>
        <w:t xml:space="preserve"> </w:t>
      </w:r>
      <w:r w:rsidR="004324EE">
        <w:t xml:space="preserve">end product </w:t>
      </w:r>
      <w:r>
        <w:t xml:space="preserve">testing regime that will help </w:t>
      </w:r>
      <w:r w:rsidR="004324EE">
        <w:t xml:space="preserve">ensure compliance with legal requirements and </w:t>
      </w:r>
      <w:r>
        <w:t>minimise the risks of placing harmful product on the market.</w:t>
      </w:r>
    </w:p>
    <w:p w:rsidR="0066791F" w:rsidRDefault="0066791F" w:rsidP="0066791F">
      <w:pPr>
        <w:pStyle w:val="FSAGuidanceHeading2"/>
        <w:jc w:val="both"/>
      </w:pPr>
      <w:bookmarkStart w:id="11" w:name="_Toc266260104"/>
      <w:bookmarkStart w:id="12" w:name="_Toc348690742"/>
      <w:bookmarkStart w:id="13" w:name="_Toc462655881"/>
      <w:r>
        <w:lastRenderedPageBreak/>
        <w:t xml:space="preserve">Intended </w:t>
      </w:r>
      <w:bookmarkEnd w:id="11"/>
      <w:r>
        <w:t>audience</w:t>
      </w:r>
      <w:bookmarkEnd w:id="12"/>
      <w:bookmarkEnd w:id="13"/>
    </w:p>
    <w:p w:rsidR="0066791F" w:rsidRDefault="0066791F" w:rsidP="00935437">
      <w:pPr>
        <w:pStyle w:val="BomTextInd"/>
        <w:tabs>
          <w:tab w:val="clear" w:pos="1701"/>
          <w:tab w:val="clear" w:pos="1843"/>
          <w:tab w:val="left" w:pos="851"/>
        </w:tabs>
        <w:ind w:left="851" w:hanging="568"/>
      </w:pPr>
      <w:r>
        <w:t xml:space="preserve">This guidance is primarily intended for </w:t>
      </w:r>
      <w:r w:rsidR="00546667">
        <w:t>scallop</w:t>
      </w:r>
      <w:r>
        <w:t xml:space="preserve"> harvesters, </w:t>
      </w:r>
      <w:r w:rsidR="003A5AF4">
        <w:t>retailers and caterers,</w:t>
      </w:r>
      <w:r>
        <w:t xml:space="preserve"> handling and processing </w:t>
      </w:r>
      <w:r w:rsidR="00C21EF0">
        <w:t>scallops as well as enforcement authorities.</w:t>
      </w:r>
      <w:r w:rsidR="00546667">
        <w:t xml:space="preserve">  </w:t>
      </w:r>
    </w:p>
    <w:p w:rsidR="0066791F" w:rsidRDefault="0066791F" w:rsidP="0066791F">
      <w:pPr>
        <w:pStyle w:val="FSAGuidanceHeading2"/>
        <w:jc w:val="both"/>
      </w:pPr>
      <w:bookmarkStart w:id="14" w:name="_Toc266260105"/>
      <w:bookmarkStart w:id="15" w:name="_Toc348690743"/>
      <w:bookmarkStart w:id="16" w:name="_Toc462655882"/>
      <w:bookmarkStart w:id="17" w:name="Purpose6"/>
      <w:r w:rsidRPr="00D679C8">
        <w:t xml:space="preserve">Purpose </w:t>
      </w:r>
      <w:r>
        <w:t>of guidance</w:t>
      </w:r>
      <w:bookmarkEnd w:id="14"/>
      <w:bookmarkEnd w:id="15"/>
      <w:bookmarkEnd w:id="16"/>
    </w:p>
    <w:bookmarkEnd w:id="17"/>
    <w:p w:rsidR="0066791F" w:rsidRDefault="0066791F" w:rsidP="00935437">
      <w:pPr>
        <w:pStyle w:val="BomTextInd"/>
        <w:tabs>
          <w:tab w:val="clear" w:pos="1701"/>
          <w:tab w:val="clear" w:pos="1843"/>
          <w:tab w:val="left" w:pos="851"/>
        </w:tabs>
        <w:ind w:left="851" w:hanging="568"/>
      </w:pPr>
      <w:r>
        <w:t xml:space="preserve">This guidance document is intended to help food businesses manage </w:t>
      </w:r>
      <w:r w:rsidR="004324EE">
        <w:t xml:space="preserve">the inherent risk of biotoxins in scallops </w:t>
      </w:r>
      <w:r w:rsidR="00C21EF0">
        <w:t xml:space="preserve"> and to</w:t>
      </w:r>
      <w:r>
        <w:t xml:space="preserve"> help </w:t>
      </w:r>
      <w:r w:rsidR="000E099D">
        <w:t>local authorities (L</w:t>
      </w:r>
      <w:r w:rsidR="00546667">
        <w:t>A</w:t>
      </w:r>
      <w:r w:rsidR="000E099D">
        <w:t>s)</w:t>
      </w:r>
      <w:r>
        <w:t xml:space="preserve"> assess food safety management procedures in the businesses they inspect.</w:t>
      </w:r>
      <w:r w:rsidR="004A01A1">
        <w:t xml:space="preserve">  It is anticipated that local authorities will utilise this guidance in order to assess compliance in food businesses handling or processing scallops.  Where food businesses take a different approach to managing food safety risks then equivalence with the standard set out </w:t>
      </w:r>
      <w:r w:rsidR="002F0E9A">
        <w:t xml:space="preserve">in regulation </w:t>
      </w:r>
      <w:r w:rsidR="00F22B69">
        <w:t xml:space="preserve">(EC) </w:t>
      </w:r>
      <w:r w:rsidR="005F3FA7">
        <w:t xml:space="preserve">853/2004 </w:t>
      </w:r>
      <w:r w:rsidR="004A01A1">
        <w:t xml:space="preserve"> should be demonstrated by the FBO.  F</w:t>
      </w:r>
      <w:r w:rsidR="000E099D">
        <w:t xml:space="preserve">ood </w:t>
      </w:r>
      <w:r w:rsidR="004A01A1">
        <w:t>S</w:t>
      </w:r>
      <w:r w:rsidR="000E099D">
        <w:t xml:space="preserve">tandards </w:t>
      </w:r>
      <w:r w:rsidR="004A01A1">
        <w:t>S</w:t>
      </w:r>
      <w:r w:rsidR="000E099D">
        <w:t>cotland (FSS)</w:t>
      </w:r>
      <w:r w:rsidR="004A01A1">
        <w:t xml:space="preserve"> </w:t>
      </w:r>
      <w:r w:rsidR="002F0E9A">
        <w:t>will</w:t>
      </w:r>
      <w:r w:rsidR="004A01A1">
        <w:t xml:space="preserve"> audit </w:t>
      </w:r>
      <w:r w:rsidR="003A5AF4">
        <w:t xml:space="preserve">LAs </w:t>
      </w:r>
      <w:r w:rsidR="004A01A1">
        <w:t>against the standards set out in regulatio</w:t>
      </w:r>
      <w:r w:rsidR="00CB4ECD">
        <w:t xml:space="preserve">ns, </w:t>
      </w:r>
      <w:r w:rsidR="009F7DF8">
        <w:t>taking account of</w:t>
      </w:r>
      <w:r w:rsidR="00CB4ECD">
        <w:t xml:space="preserve"> this guidance</w:t>
      </w:r>
      <w:r w:rsidR="004A01A1">
        <w:t>.</w:t>
      </w:r>
    </w:p>
    <w:p w:rsidR="0066791F" w:rsidRPr="00D679C8" w:rsidRDefault="0066791F" w:rsidP="0066791F">
      <w:pPr>
        <w:pStyle w:val="FSAGuidanceHeading2"/>
      </w:pPr>
      <w:bookmarkStart w:id="18" w:name="_Toc234312834"/>
      <w:bookmarkStart w:id="19" w:name="_Toc348690744"/>
      <w:bookmarkStart w:id="20" w:name="_Toc462655883"/>
      <w:bookmarkStart w:id="21" w:name="Legal6"/>
      <w:r w:rsidRPr="00D679C8">
        <w:t>Legal status</w:t>
      </w:r>
      <w:r>
        <w:t xml:space="preserve"> of guidance</w:t>
      </w:r>
      <w:bookmarkEnd w:id="18"/>
      <w:bookmarkEnd w:id="19"/>
      <w:bookmarkEnd w:id="20"/>
    </w:p>
    <w:p w:rsidR="0066791F" w:rsidRPr="00BA59BF" w:rsidRDefault="0066791F" w:rsidP="00935437">
      <w:pPr>
        <w:pStyle w:val="BomTextInd"/>
        <w:tabs>
          <w:tab w:val="clear" w:pos="1701"/>
          <w:tab w:val="clear" w:pos="1843"/>
          <w:tab w:val="left" w:pos="851"/>
        </w:tabs>
        <w:ind w:left="851" w:hanging="568"/>
      </w:pPr>
      <w:bookmarkStart w:id="22" w:name="_Toc234312837"/>
      <w:bookmarkEnd w:id="21"/>
      <w:r w:rsidRPr="00BA59BF">
        <w:t xml:space="preserve">These guidance notes have been produced to provide advice </w:t>
      </w:r>
      <w:r w:rsidR="003A5AF4">
        <w:t>on compliance with toxin standards and therefore to help ensure compliance with</w:t>
      </w:r>
    </w:p>
    <w:p w:rsidR="0066791F" w:rsidRPr="005E4873" w:rsidRDefault="0066791F" w:rsidP="0066791F">
      <w:pPr>
        <w:pStyle w:val="BulletIndented"/>
      </w:pPr>
      <w:r w:rsidRPr="005E4873">
        <w:t xml:space="preserve">the legal requirements of </w:t>
      </w:r>
      <w:r>
        <w:t>Regulations (EC) 852/2004 and 853/2004 (as amended) as enforced by the Food Hygiene (Scotland) Regulations 2006 (as amended).  Specifically Chapter II, Article 5 (Hazard analysis and critical control points) of 852/2004 and Section VII, Chapter V (Health Standards for LBMs) of 853/2004.</w:t>
      </w:r>
    </w:p>
    <w:p w:rsidR="0066791F" w:rsidRPr="00BA59BF" w:rsidRDefault="0066791F" w:rsidP="00935437">
      <w:pPr>
        <w:pStyle w:val="BomTextInd"/>
        <w:tabs>
          <w:tab w:val="clear" w:pos="1701"/>
          <w:tab w:val="clear" w:pos="1843"/>
          <w:tab w:val="left" w:pos="851"/>
        </w:tabs>
        <w:ind w:left="851" w:hanging="568"/>
      </w:pPr>
      <w:r>
        <w:t xml:space="preserve">These guidance notes </w:t>
      </w:r>
      <w:r w:rsidRPr="00FB2DB1">
        <w:t xml:space="preserve">cannot cover every situation and </w:t>
      </w:r>
      <w:r>
        <w:t xml:space="preserve">you may need </w:t>
      </w:r>
      <w:r w:rsidRPr="00FB2DB1">
        <w:t xml:space="preserve">to consider the relevant legislation </w:t>
      </w:r>
      <w:r>
        <w:t>itself</w:t>
      </w:r>
      <w:r w:rsidRPr="00FB2DB1">
        <w:t xml:space="preserve"> to see how it applies in your circumstances.</w:t>
      </w:r>
      <w:r>
        <w:t xml:space="preserve"> </w:t>
      </w:r>
    </w:p>
    <w:p w:rsidR="0066791F" w:rsidRDefault="0066791F" w:rsidP="00935437">
      <w:pPr>
        <w:pStyle w:val="BomTextInd"/>
        <w:tabs>
          <w:tab w:val="clear" w:pos="1701"/>
          <w:tab w:val="clear" w:pos="1843"/>
          <w:tab w:val="left" w:pos="851"/>
        </w:tabs>
        <w:ind w:left="851" w:hanging="568"/>
      </w:pPr>
      <w:r w:rsidRPr="0077055A">
        <w:t xml:space="preserve">Businesses </w:t>
      </w:r>
      <w:r w:rsidRPr="00A96F4A">
        <w:t>with specific queries</w:t>
      </w:r>
      <w:r w:rsidRPr="0077055A">
        <w:t xml:space="preserve"> may wish to seek the advice of their </w:t>
      </w:r>
      <w:r w:rsidR="00546667">
        <w:t>LA.</w:t>
      </w:r>
      <w:r>
        <w:t xml:space="preserve"> Details of relevant contacts in </w:t>
      </w:r>
      <w:r w:rsidR="00546667">
        <w:t>FSS</w:t>
      </w:r>
      <w:r>
        <w:t xml:space="preserve"> are provided below.</w:t>
      </w:r>
    </w:p>
    <w:p w:rsidR="0066791F" w:rsidRPr="0077055A" w:rsidRDefault="0066791F" w:rsidP="0066791F">
      <w:pPr>
        <w:pStyle w:val="BomTextInd"/>
        <w:sectPr w:rsidR="0066791F" w:rsidRPr="0077055A" w:rsidSect="0066791F">
          <w:type w:val="continuous"/>
          <w:pgSz w:w="11906" w:h="16838" w:code="9"/>
          <w:pgMar w:top="1985" w:right="1418" w:bottom="1418" w:left="1418" w:header="851" w:footer="638" w:gutter="0"/>
          <w:pgNumType w:chapSep="period"/>
          <w:cols w:space="708"/>
          <w:formProt w:val="0"/>
          <w:docGrid w:linePitch="360"/>
        </w:sectPr>
      </w:pPr>
    </w:p>
    <w:p w:rsidR="0066791F" w:rsidRDefault="0066791F" w:rsidP="00935437">
      <w:pPr>
        <w:pStyle w:val="Heading3"/>
      </w:pPr>
      <w:bookmarkStart w:id="23" w:name="_Toc348690746"/>
      <w:bookmarkStart w:id="24" w:name="_Toc462655884"/>
      <w:bookmarkStart w:id="25" w:name="Contacts7"/>
      <w:bookmarkEnd w:id="22"/>
      <w:r w:rsidRPr="00935437">
        <w:lastRenderedPageBreak/>
        <w:t>Contacts</w:t>
      </w:r>
      <w:bookmarkEnd w:id="23"/>
      <w:bookmarkEnd w:id="24"/>
    </w:p>
    <w:p w:rsidR="00935437" w:rsidRPr="00935437" w:rsidRDefault="00935437" w:rsidP="00935437"/>
    <w:tbl>
      <w:tblPr>
        <w:tblW w:w="10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689"/>
        <w:gridCol w:w="2698"/>
        <w:gridCol w:w="5206"/>
      </w:tblGrid>
      <w:tr w:rsidR="0066791F" w:rsidRPr="000E099D" w:rsidTr="000E099D">
        <w:trPr>
          <w:cantSplit/>
          <w:trHeight w:val="357"/>
        </w:trPr>
        <w:tc>
          <w:tcPr>
            <w:tcW w:w="10593" w:type="dxa"/>
            <w:gridSpan w:val="3"/>
            <w:tcBorders>
              <w:top w:val="single" w:sz="4" w:space="0" w:color="auto"/>
            </w:tcBorders>
            <w:shd w:val="clear" w:color="auto" w:fill="E5DFEC"/>
          </w:tcPr>
          <w:bookmarkEnd w:id="25"/>
          <w:p w:rsidR="0066791F" w:rsidRPr="000E099D" w:rsidRDefault="00CB4ECD" w:rsidP="0066791F">
            <w:pPr>
              <w:spacing w:before="120" w:after="120"/>
              <w:rPr>
                <w:rFonts w:ascii="Arial" w:hAnsi="Arial" w:cs="Arial"/>
                <w:b/>
                <w:sz w:val="24"/>
                <w:szCs w:val="24"/>
              </w:rPr>
            </w:pPr>
            <w:r w:rsidRPr="000E099D">
              <w:rPr>
                <w:rFonts w:ascii="Arial" w:hAnsi="Arial" w:cs="Arial"/>
                <w:b/>
                <w:sz w:val="24"/>
                <w:szCs w:val="24"/>
              </w:rPr>
              <w:t>FOOD STANDARDS SCOTLAND – SHELLFISH CONTACTS</w:t>
            </w:r>
          </w:p>
        </w:tc>
      </w:tr>
      <w:tr w:rsidR="0066791F" w:rsidRPr="000E099D" w:rsidTr="000E099D">
        <w:trPr>
          <w:cantSplit/>
          <w:tblHeader/>
        </w:trPr>
        <w:tc>
          <w:tcPr>
            <w:tcW w:w="2689" w:type="dxa"/>
          </w:tcPr>
          <w:p w:rsidR="0066791F" w:rsidRPr="000E099D" w:rsidRDefault="0066791F" w:rsidP="0066791F">
            <w:pPr>
              <w:autoSpaceDE w:val="0"/>
              <w:autoSpaceDN w:val="0"/>
              <w:adjustRightInd w:val="0"/>
              <w:spacing w:line="360" w:lineRule="auto"/>
              <w:rPr>
                <w:rFonts w:ascii="Arial" w:hAnsi="Arial" w:cs="Arial"/>
                <w:b/>
                <w:sz w:val="24"/>
                <w:szCs w:val="24"/>
              </w:rPr>
            </w:pPr>
            <w:r w:rsidRPr="000E099D">
              <w:rPr>
                <w:rFonts w:ascii="Arial" w:hAnsi="Arial" w:cs="Arial"/>
                <w:b/>
                <w:sz w:val="24"/>
                <w:szCs w:val="24"/>
              </w:rPr>
              <w:t>Name</w:t>
            </w:r>
          </w:p>
        </w:tc>
        <w:tc>
          <w:tcPr>
            <w:tcW w:w="2698" w:type="dxa"/>
          </w:tcPr>
          <w:p w:rsidR="0066791F" w:rsidRPr="000E099D" w:rsidRDefault="0066791F" w:rsidP="0066791F">
            <w:pPr>
              <w:autoSpaceDE w:val="0"/>
              <w:autoSpaceDN w:val="0"/>
              <w:adjustRightInd w:val="0"/>
              <w:spacing w:line="360" w:lineRule="auto"/>
              <w:ind w:left="14"/>
              <w:rPr>
                <w:rFonts w:ascii="Arial" w:hAnsi="Arial" w:cs="Arial"/>
                <w:b/>
                <w:sz w:val="24"/>
                <w:szCs w:val="24"/>
              </w:rPr>
            </w:pPr>
            <w:r w:rsidRPr="000E099D">
              <w:rPr>
                <w:rFonts w:ascii="Arial" w:hAnsi="Arial" w:cs="Arial"/>
                <w:b/>
                <w:sz w:val="24"/>
                <w:szCs w:val="24"/>
              </w:rPr>
              <w:t>Topics</w:t>
            </w:r>
          </w:p>
        </w:tc>
        <w:tc>
          <w:tcPr>
            <w:tcW w:w="5206" w:type="dxa"/>
          </w:tcPr>
          <w:p w:rsidR="0066791F" w:rsidRPr="000E099D" w:rsidRDefault="0066791F" w:rsidP="0066791F">
            <w:pPr>
              <w:autoSpaceDE w:val="0"/>
              <w:autoSpaceDN w:val="0"/>
              <w:adjustRightInd w:val="0"/>
              <w:spacing w:line="360" w:lineRule="auto"/>
              <w:rPr>
                <w:rFonts w:ascii="Arial" w:hAnsi="Arial" w:cs="Arial"/>
                <w:b/>
                <w:sz w:val="24"/>
                <w:szCs w:val="24"/>
              </w:rPr>
            </w:pPr>
            <w:r w:rsidRPr="000E099D">
              <w:rPr>
                <w:rFonts w:ascii="Arial" w:hAnsi="Arial" w:cs="Arial"/>
                <w:b/>
                <w:sz w:val="24"/>
                <w:szCs w:val="24"/>
              </w:rPr>
              <w:t>Contacts</w:t>
            </w:r>
          </w:p>
        </w:tc>
      </w:tr>
      <w:tr w:rsidR="0066791F" w:rsidRPr="000E099D" w:rsidTr="000E099D">
        <w:trPr>
          <w:cantSplit/>
          <w:tblHeader/>
        </w:trPr>
        <w:tc>
          <w:tcPr>
            <w:tcW w:w="2689" w:type="dxa"/>
            <w:tcBorders>
              <w:top w:val="single" w:sz="4" w:space="0" w:color="auto"/>
              <w:left w:val="single" w:sz="4" w:space="0" w:color="auto"/>
              <w:bottom w:val="single" w:sz="4" w:space="0" w:color="auto"/>
              <w:right w:val="single" w:sz="4" w:space="0" w:color="auto"/>
            </w:tcBorders>
          </w:tcPr>
          <w:p w:rsidR="0066791F" w:rsidRPr="000E099D" w:rsidRDefault="00CB4ECD" w:rsidP="0066791F">
            <w:pPr>
              <w:autoSpaceDE w:val="0"/>
              <w:autoSpaceDN w:val="0"/>
              <w:adjustRightInd w:val="0"/>
              <w:spacing w:line="360" w:lineRule="auto"/>
              <w:rPr>
                <w:rFonts w:ascii="Arial" w:hAnsi="Arial" w:cs="Arial"/>
                <w:sz w:val="24"/>
                <w:szCs w:val="24"/>
              </w:rPr>
            </w:pPr>
            <w:r w:rsidRPr="000E099D">
              <w:rPr>
                <w:rFonts w:ascii="Arial" w:hAnsi="Arial" w:cs="Arial"/>
                <w:sz w:val="24"/>
                <w:szCs w:val="24"/>
              </w:rPr>
              <w:t>Pat Smyth</w:t>
            </w:r>
          </w:p>
        </w:tc>
        <w:tc>
          <w:tcPr>
            <w:tcW w:w="2698" w:type="dxa"/>
            <w:tcBorders>
              <w:top w:val="single" w:sz="4" w:space="0" w:color="auto"/>
              <w:left w:val="single" w:sz="4" w:space="0" w:color="auto"/>
              <w:bottom w:val="single" w:sz="4" w:space="0" w:color="auto"/>
              <w:right w:val="single" w:sz="4" w:space="0" w:color="auto"/>
            </w:tcBorders>
          </w:tcPr>
          <w:p w:rsidR="0066791F" w:rsidRPr="000E099D" w:rsidRDefault="00CB4ECD" w:rsidP="00515506">
            <w:pPr>
              <w:numPr>
                <w:ilvl w:val="0"/>
                <w:numId w:val="2"/>
              </w:numPr>
              <w:jc w:val="both"/>
              <w:rPr>
                <w:rFonts w:ascii="Arial" w:hAnsi="Arial" w:cs="Arial"/>
                <w:sz w:val="24"/>
                <w:szCs w:val="24"/>
              </w:rPr>
            </w:pPr>
            <w:r w:rsidRPr="000E099D">
              <w:rPr>
                <w:rFonts w:ascii="Arial" w:hAnsi="Arial" w:cs="Arial"/>
                <w:sz w:val="24"/>
                <w:szCs w:val="24"/>
              </w:rPr>
              <w:t>Enforc</w:t>
            </w:r>
            <w:r w:rsidR="001C059C" w:rsidRPr="000E099D">
              <w:rPr>
                <w:rFonts w:ascii="Arial" w:hAnsi="Arial" w:cs="Arial"/>
                <w:sz w:val="24"/>
                <w:szCs w:val="24"/>
              </w:rPr>
              <w:t>ement</w:t>
            </w:r>
            <w:r w:rsidR="004324EE">
              <w:rPr>
                <w:rFonts w:ascii="Arial" w:hAnsi="Arial" w:cs="Arial"/>
                <w:sz w:val="24"/>
                <w:szCs w:val="24"/>
              </w:rPr>
              <w:t xml:space="preserve"> Advice</w:t>
            </w:r>
          </w:p>
          <w:p w:rsidR="001C059C" w:rsidRPr="000E099D" w:rsidRDefault="001C059C" w:rsidP="00AB70A2">
            <w:pPr>
              <w:ind w:left="360"/>
              <w:rPr>
                <w:rFonts w:ascii="Arial" w:hAnsi="Arial" w:cs="Arial"/>
                <w:sz w:val="24"/>
                <w:szCs w:val="24"/>
              </w:rPr>
            </w:pPr>
          </w:p>
        </w:tc>
        <w:tc>
          <w:tcPr>
            <w:tcW w:w="5206" w:type="dxa"/>
            <w:tcBorders>
              <w:top w:val="single" w:sz="4" w:space="0" w:color="auto"/>
              <w:left w:val="single" w:sz="4" w:space="0" w:color="auto"/>
              <w:bottom w:val="single" w:sz="4" w:space="0" w:color="auto"/>
              <w:right w:val="single" w:sz="4" w:space="0" w:color="auto"/>
            </w:tcBorders>
          </w:tcPr>
          <w:p w:rsidR="0066791F" w:rsidRPr="000E099D" w:rsidRDefault="0066791F" w:rsidP="0066791F">
            <w:pPr>
              <w:autoSpaceDE w:val="0"/>
              <w:autoSpaceDN w:val="0"/>
              <w:adjustRightInd w:val="0"/>
              <w:spacing w:before="120" w:line="360" w:lineRule="auto"/>
              <w:rPr>
                <w:rFonts w:ascii="Arial" w:hAnsi="Arial" w:cs="Arial"/>
                <w:sz w:val="24"/>
                <w:szCs w:val="24"/>
              </w:rPr>
            </w:pPr>
            <w:r w:rsidRPr="00935437">
              <w:rPr>
                <w:rFonts w:ascii="Arial" w:hAnsi="Arial" w:cs="Arial"/>
                <w:sz w:val="24"/>
                <w:szCs w:val="24"/>
              </w:rPr>
              <w:sym w:font="Wingdings" w:char="F028"/>
            </w:r>
            <w:r w:rsidRPr="000E099D">
              <w:rPr>
                <w:rFonts w:ascii="Arial" w:hAnsi="Arial" w:cs="Arial"/>
                <w:sz w:val="24"/>
                <w:szCs w:val="24"/>
              </w:rPr>
              <w:t xml:space="preserve"> </w:t>
            </w:r>
            <w:r w:rsidR="00515506">
              <w:rPr>
                <w:rFonts w:ascii="Arial" w:hAnsi="Arial" w:cs="Arial"/>
                <w:sz w:val="24"/>
                <w:szCs w:val="24"/>
              </w:rPr>
              <w:t>0</w:t>
            </w:r>
            <w:r w:rsidR="004321C5">
              <w:rPr>
                <w:rFonts w:ascii="Arial" w:hAnsi="Arial" w:cs="Arial"/>
                <w:sz w:val="24"/>
                <w:szCs w:val="24"/>
              </w:rPr>
              <w:t>7824 342187</w:t>
            </w:r>
          </w:p>
          <w:p w:rsidR="0066791F" w:rsidRPr="000E099D" w:rsidRDefault="0066791F" w:rsidP="0066791F">
            <w:pPr>
              <w:autoSpaceDE w:val="0"/>
              <w:autoSpaceDN w:val="0"/>
              <w:adjustRightInd w:val="0"/>
              <w:spacing w:line="360" w:lineRule="auto"/>
              <w:rPr>
                <w:rFonts w:ascii="Arial" w:hAnsi="Arial" w:cs="Arial"/>
                <w:sz w:val="24"/>
                <w:szCs w:val="24"/>
              </w:rPr>
            </w:pPr>
          </w:p>
        </w:tc>
      </w:tr>
      <w:tr w:rsidR="000E099D" w:rsidRPr="000E099D" w:rsidTr="000E099D">
        <w:trPr>
          <w:cantSplit/>
          <w:tblHeader/>
        </w:trPr>
        <w:tc>
          <w:tcPr>
            <w:tcW w:w="2689" w:type="dxa"/>
            <w:tcBorders>
              <w:top w:val="single" w:sz="4" w:space="0" w:color="auto"/>
              <w:left w:val="single" w:sz="4" w:space="0" w:color="auto"/>
              <w:bottom w:val="single" w:sz="4" w:space="0" w:color="auto"/>
              <w:right w:val="single" w:sz="4" w:space="0" w:color="auto"/>
            </w:tcBorders>
          </w:tcPr>
          <w:p w:rsidR="000E099D" w:rsidRDefault="000E099D" w:rsidP="002D58A7">
            <w:pPr>
              <w:autoSpaceDE w:val="0"/>
              <w:autoSpaceDN w:val="0"/>
              <w:adjustRightInd w:val="0"/>
              <w:spacing w:line="360" w:lineRule="auto"/>
              <w:rPr>
                <w:rFonts w:ascii="Arial" w:hAnsi="Arial" w:cs="Arial"/>
                <w:sz w:val="24"/>
                <w:szCs w:val="24"/>
              </w:rPr>
            </w:pPr>
            <w:r w:rsidRPr="00F71C1D">
              <w:rPr>
                <w:rFonts w:ascii="Arial" w:hAnsi="Arial" w:cs="Arial"/>
                <w:sz w:val="24"/>
                <w:szCs w:val="24"/>
              </w:rPr>
              <w:t>Jennifer Howie</w:t>
            </w:r>
          </w:p>
          <w:p w:rsidR="00546667" w:rsidRPr="00F71C1D" w:rsidRDefault="00546667" w:rsidP="002D58A7">
            <w:pPr>
              <w:autoSpaceDE w:val="0"/>
              <w:autoSpaceDN w:val="0"/>
              <w:adjustRightInd w:val="0"/>
              <w:spacing w:line="360" w:lineRule="auto"/>
              <w:rPr>
                <w:rFonts w:ascii="Arial" w:hAnsi="Arial" w:cs="Arial"/>
                <w:sz w:val="24"/>
                <w:szCs w:val="24"/>
              </w:rPr>
            </w:pPr>
            <w:r>
              <w:rPr>
                <w:rFonts w:ascii="Arial" w:hAnsi="Arial" w:cs="Arial"/>
                <w:sz w:val="24"/>
                <w:szCs w:val="24"/>
              </w:rPr>
              <w:t>Josep Campins</w:t>
            </w:r>
          </w:p>
          <w:p w:rsidR="000E099D" w:rsidRPr="000E099D" w:rsidRDefault="000E099D" w:rsidP="0066791F">
            <w:pPr>
              <w:autoSpaceDE w:val="0"/>
              <w:autoSpaceDN w:val="0"/>
              <w:adjustRightInd w:val="0"/>
              <w:spacing w:line="360" w:lineRule="auto"/>
              <w:rPr>
                <w:rFonts w:ascii="Arial" w:hAnsi="Arial" w:cs="Arial"/>
                <w:sz w:val="24"/>
                <w:szCs w:val="24"/>
              </w:rPr>
            </w:pPr>
          </w:p>
        </w:tc>
        <w:tc>
          <w:tcPr>
            <w:tcW w:w="2698" w:type="dxa"/>
            <w:tcBorders>
              <w:top w:val="single" w:sz="4" w:space="0" w:color="auto"/>
              <w:left w:val="single" w:sz="4" w:space="0" w:color="auto"/>
              <w:bottom w:val="single" w:sz="4" w:space="0" w:color="auto"/>
              <w:right w:val="single" w:sz="4" w:space="0" w:color="auto"/>
            </w:tcBorders>
          </w:tcPr>
          <w:p w:rsidR="000E099D" w:rsidRPr="000E099D" w:rsidRDefault="000E099D" w:rsidP="00410BD9">
            <w:pPr>
              <w:numPr>
                <w:ilvl w:val="0"/>
                <w:numId w:val="2"/>
              </w:numPr>
              <w:rPr>
                <w:rFonts w:ascii="Arial" w:hAnsi="Arial" w:cs="Arial"/>
                <w:sz w:val="24"/>
                <w:szCs w:val="24"/>
              </w:rPr>
            </w:pPr>
            <w:r>
              <w:rPr>
                <w:rFonts w:ascii="Arial" w:hAnsi="Arial" w:cs="Arial"/>
                <w:sz w:val="24"/>
                <w:szCs w:val="24"/>
              </w:rPr>
              <w:t>P</w:t>
            </w:r>
            <w:r w:rsidRPr="00F71C1D">
              <w:rPr>
                <w:rFonts w:ascii="Arial" w:hAnsi="Arial" w:cs="Arial"/>
                <w:sz w:val="24"/>
                <w:szCs w:val="24"/>
              </w:rPr>
              <w:t>olicy</w:t>
            </w:r>
            <w:r>
              <w:rPr>
                <w:rFonts w:ascii="Arial" w:hAnsi="Arial" w:cs="Arial"/>
                <w:sz w:val="24"/>
                <w:szCs w:val="24"/>
              </w:rPr>
              <w:t xml:space="preserve"> Advice</w:t>
            </w:r>
          </w:p>
        </w:tc>
        <w:tc>
          <w:tcPr>
            <w:tcW w:w="5206" w:type="dxa"/>
            <w:tcBorders>
              <w:top w:val="single" w:sz="4" w:space="0" w:color="auto"/>
              <w:left w:val="single" w:sz="4" w:space="0" w:color="auto"/>
              <w:bottom w:val="single" w:sz="4" w:space="0" w:color="auto"/>
              <w:right w:val="single" w:sz="4" w:space="0" w:color="auto"/>
            </w:tcBorders>
          </w:tcPr>
          <w:p w:rsidR="000E099D" w:rsidRPr="00F71C1D" w:rsidRDefault="000E099D" w:rsidP="002D58A7">
            <w:pPr>
              <w:autoSpaceDE w:val="0"/>
              <w:autoSpaceDN w:val="0"/>
              <w:adjustRightInd w:val="0"/>
              <w:spacing w:before="120" w:line="360" w:lineRule="auto"/>
              <w:rPr>
                <w:rFonts w:ascii="Arial" w:hAnsi="Arial" w:cs="Arial"/>
                <w:sz w:val="24"/>
                <w:szCs w:val="24"/>
              </w:rPr>
            </w:pPr>
            <w:r w:rsidRPr="00F71C1D">
              <w:rPr>
                <w:rFonts w:ascii="Arial" w:hAnsi="Arial" w:cs="Arial"/>
                <w:sz w:val="24"/>
                <w:szCs w:val="24"/>
              </w:rPr>
              <w:sym w:font="Wingdings" w:char="F028"/>
            </w:r>
            <w:r w:rsidRPr="00F71C1D">
              <w:rPr>
                <w:rFonts w:ascii="Arial" w:hAnsi="Arial" w:cs="Arial"/>
                <w:sz w:val="24"/>
                <w:szCs w:val="24"/>
              </w:rPr>
              <w:t xml:space="preserve"> </w:t>
            </w:r>
            <w:r w:rsidR="00515506">
              <w:rPr>
                <w:rFonts w:ascii="Arial" w:hAnsi="Arial" w:cs="Arial"/>
                <w:sz w:val="24"/>
                <w:szCs w:val="24"/>
              </w:rPr>
              <w:t>01224 285157</w:t>
            </w:r>
          </w:p>
          <w:p w:rsidR="000E099D" w:rsidRPr="000E099D" w:rsidRDefault="000E099D" w:rsidP="00515506">
            <w:pPr>
              <w:autoSpaceDE w:val="0"/>
              <w:autoSpaceDN w:val="0"/>
              <w:adjustRightInd w:val="0"/>
              <w:spacing w:before="120" w:line="360" w:lineRule="auto"/>
              <w:rPr>
                <w:rFonts w:ascii="Arial" w:hAnsi="Arial" w:cs="Arial"/>
                <w:sz w:val="24"/>
                <w:szCs w:val="24"/>
              </w:rPr>
            </w:pPr>
          </w:p>
        </w:tc>
      </w:tr>
      <w:tr w:rsidR="000E099D" w:rsidRPr="00935437" w:rsidTr="000E099D">
        <w:trPr>
          <w:cantSplit/>
          <w:tblHeader/>
        </w:trPr>
        <w:tc>
          <w:tcPr>
            <w:tcW w:w="2689" w:type="dxa"/>
            <w:tcBorders>
              <w:top w:val="single" w:sz="4" w:space="0" w:color="auto"/>
              <w:left w:val="single" w:sz="4" w:space="0" w:color="auto"/>
              <w:bottom w:val="single" w:sz="4" w:space="0" w:color="auto"/>
              <w:right w:val="single" w:sz="4" w:space="0" w:color="auto"/>
            </w:tcBorders>
          </w:tcPr>
          <w:p w:rsidR="000E099D" w:rsidRPr="00935437" w:rsidRDefault="000E099D" w:rsidP="0066791F">
            <w:pPr>
              <w:autoSpaceDE w:val="0"/>
              <w:autoSpaceDN w:val="0"/>
              <w:adjustRightInd w:val="0"/>
              <w:spacing w:line="360" w:lineRule="auto"/>
              <w:rPr>
                <w:rFonts w:ascii="Arial" w:hAnsi="Arial" w:cs="Arial"/>
                <w:sz w:val="24"/>
                <w:szCs w:val="24"/>
              </w:rPr>
            </w:pPr>
            <w:r w:rsidRPr="00935437">
              <w:rPr>
                <w:rFonts w:ascii="Arial" w:hAnsi="Arial" w:cs="Arial"/>
                <w:sz w:val="24"/>
                <w:szCs w:val="24"/>
              </w:rPr>
              <w:t>Caroline Thomson</w:t>
            </w:r>
          </w:p>
          <w:p w:rsidR="000E099D" w:rsidRPr="00935437" w:rsidRDefault="000E099D" w:rsidP="0066791F">
            <w:pPr>
              <w:autoSpaceDE w:val="0"/>
              <w:autoSpaceDN w:val="0"/>
              <w:adjustRightInd w:val="0"/>
              <w:spacing w:line="360" w:lineRule="auto"/>
              <w:rPr>
                <w:rFonts w:ascii="Arial" w:hAnsi="Arial" w:cs="Arial"/>
                <w:sz w:val="24"/>
                <w:szCs w:val="24"/>
              </w:rPr>
            </w:pPr>
            <w:r w:rsidRPr="00935437">
              <w:rPr>
                <w:rFonts w:ascii="Arial" w:hAnsi="Arial" w:cs="Arial"/>
                <w:sz w:val="24"/>
                <w:szCs w:val="24"/>
              </w:rPr>
              <w:t>Graham Ewen</w:t>
            </w:r>
          </w:p>
        </w:tc>
        <w:tc>
          <w:tcPr>
            <w:tcW w:w="2698" w:type="dxa"/>
            <w:tcBorders>
              <w:top w:val="single" w:sz="4" w:space="0" w:color="auto"/>
              <w:left w:val="single" w:sz="4" w:space="0" w:color="auto"/>
              <w:bottom w:val="single" w:sz="4" w:space="0" w:color="auto"/>
              <w:right w:val="single" w:sz="4" w:space="0" w:color="auto"/>
            </w:tcBorders>
          </w:tcPr>
          <w:p w:rsidR="000E099D" w:rsidRPr="00935437" w:rsidRDefault="000E099D" w:rsidP="00410BD9">
            <w:pPr>
              <w:numPr>
                <w:ilvl w:val="0"/>
                <w:numId w:val="2"/>
              </w:numPr>
              <w:rPr>
                <w:rFonts w:ascii="Arial" w:hAnsi="Arial" w:cs="Arial"/>
                <w:sz w:val="24"/>
                <w:szCs w:val="24"/>
              </w:rPr>
            </w:pPr>
            <w:r>
              <w:rPr>
                <w:rFonts w:ascii="Arial" w:hAnsi="Arial" w:cs="Arial"/>
                <w:sz w:val="24"/>
                <w:szCs w:val="24"/>
              </w:rPr>
              <w:t xml:space="preserve">FSS LBM biotoxin </w:t>
            </w:r>
            <w:r w:rsidRPr="00935437">
              <w:rPr>
                <w:rFonts w:ascii="Arial" w:hAnsi="Arial" w:cs="Arial"/>
                <w:sz w:val="24"/>
                <w:szCs w:val="24"/>
              </w:rPr>
              <w:t xml:space="preserve"> monitoring programmes and contract management </w:t>
            </w:r>
          </w:p>
        </w:tc>
        <w:tc>
          <w:tcPr>
            <w:tcW w:w="5206" w:type="dxa"/>
            <w:tcBorders>
              <w:top w:val="single" w:sz="4" w:space="0" w:color="auto"/>
              <w:left w:val="single" w:sz="4" w:space="0" w:color="auto"/>
              <w:bottom w:val="single" w:sz="4" w:space="0" w:color="auto"/>
              <w:right w:val="single" w:sz="4" w:space="0" w:color="auto"/>
            </w:tcBorders>
          </w:tcPr>
          <w:p w:rsidR="000E099D" w:rsidRPr="00935437" w:rsidRDefault="000E099D" w:rsidP="0066791F">
            <w:pPr>
              <w:autoSpaceDE w:val="0"/>
              <w:autoSpaceDN w:val="0"/>
              <w:adjustRightInd w:val="0"/>
              <w:spacing w:before="120" w:line="360" w:lineRule="auto"/>
              <w:rPr>
                <w:rFonts w:ascii="Arial" w:hAnsi="Arial" w:cs="Arial"/>
                <w:sz w:val="24"/>
                <w:szCs w:val="24"/>
              </w:rPr>
            </w:pPr>
            <w:r w:rsidRPr="00935437">
              <w:rPr>
                <w:rFonts w:ascii="Arial" w:hAnsi="Arial" w:cs="Arial"/>
                <w:sz w:val="24"/>
                <w:szCs w:val="24"/>
              </w:rPr>
              <w:sym w:font="Wingdings" w:char="F028"/>
            </w:r>
            <w:r w:rsidRPr="00935437">
              <w:rPr>
                <w:rFonts w:ascii="Arial" w:hAnsi="Arial" w:cs="Arial"/>
                <w:sz w:val="24"/>
                <w:szCs w:val="24"/>
              </w:rPr>
              <w:t xml:space="preserve"> </w:t>
            </w:r>
            <w:r w:rsidR="00515506">
              <w:rPr>
                <w:rFonts w:ascii="Arial" w:hAnsi="Arial" w:cs="Arial"/>
                <w:sz w:val="24"/>
                <w:szCs w:val="24"/>
              </w:rPr>
              <w:t xml:space="preserve">01224 285378 </w:t>
            </w:r>
          </w:p>
          <w:p w:rsidR="000E099D" w:rsidRPr="00935437" w:rsidRDefault="000E099D" w:rsidP="0066791F">
            <w:pPr>
              <w:autoSpaceDE w:val="0"/>
              <w:autoSpaceDN w:val="0"/>
              <w:adjustRightInd w:val="0"/>
              <w:spacing w:line="360" w:lineRule="auto"/>
              <w:rPr>
                <w:rFonts w:ascii="Arial" w:hAnsi="Arial" w:cs="Arial"/>
                <w:sz w:val="24"/>
                <w:szCs w:val="24"/>
              </w:rPr>
            </w:pPr>
          </w:p>
        </w:tc>
      </w:tr>
      <w:tr w:rsidR="000E099D" w:rsidRPr="00935437" w:rsidTr="000E099D">
        <w:trPr>
          <w:cantSplit/>
          <w:tblHeader/>
        </w:trPr>
        <w:tc>
          <w:tcPr>
            <w:tcW w:w="2689" w:type="dxa"/>
            <w:tcBorders>
              <w:top w:val="single" w:sz="4" w:space="0" w:color="auto"/>
              <w:left w:val="single" w:sz="4" w:space="0" w:color="auto"/>
              <w:bottom w:val="single" w:sz="4" w:space="0" w:color="auto"/>
              <w:right w:val="single" w:sz="4" w:space="0" w:color="auto"/>
            </w:tcBorders>
          </w:tcPr>
          <w:p w:rsidR="000E099D" w:rsidRDefault="000E099D" w:rsidP="0066791F">
            <w:pPr>
              <w:autoSpaceDE w:val="0"/>
              <w:autoSpaceDN w:val="0"/>
              <w:adjustRightInd w:val="0"/>
              <w:rPr>
                <w:rFonts w:ascii="Arial" w:hAnsi="Arial" w:cs="Arial"/>
                <w:sz w:val="24"/>
                <w:szCs w:val="24"/>
              </w:rPr>
            </w:pPr>
            <w:r w:rsidRPr="00935437">
              <w:rPr>
                <w:rFonts w:ascii="Arial" w:hAnsi="Arial" w:cs="Arial"/>
                <w:sz w:val="24"/>
                <w:szCs w:val="24"/>
              </w:rPr>
              <w:t>Kasia Kazimierczak</w:t>
            </w:r>
          </w:p>
          <w:p w:rsidR="00515506" w:rsidRDefault="00515506" w:rsidP="0066791F">
            <w:pPr>
              <w:autoSpaceDE w:val="0"/>
              <w:autoSpaceDN w:val="0"/>
              <w:adjustRightInd w:val="0"/>
              <w:rPr>
                <w:rFonts w:ascii="Arial" w:hAnsi="Arial" w:cs="Arial"/>
                <w:sz w:val="24"/>
                <w:szCs w:val="24"/>
              </w:rPr>
            </w:pPr>
          </w:p>
          <w:p w:rsidR="00AB70A2" w:rsidRPr="00935437" w:rsidRDefault="00AB70A2" w:rsidP="0066791F">
            <w:pPr>
              <w:autoSpaceDE w:val="0"/>
              <w:autoSpaceDN w:val="0"/>
              <w:adjustRightInd w:val="0"/>
              <w:rPr>
                <w:rFonts w:ascii="Arial" w:hAnsi="Arial" w:cs="Arial"/>
                <w:sz w:val="24"/>
                <w:szCs w:val="24"/>
              </w:rPr>
            </w:pPr>
            <w:r>
              <w:rPr>
                <w:rFonts w:ascii="Arial" w:hAnsi="Arial" w:cs="Arial"/>
                <w:sz w:val="24"/>
                <w:szCs w:val="24"/>
              </w:rPr>
              <w:t>Kelly White</w:t>
            </w:r>
          </w:p>
        </w:tc>
        <w:tc>
          <w:tcPr>
            <w:tcW w:w="2698" w:type="dxa"/>
            <w:tcBorders>
              <w:top w:val="single" w:sz="4" w:space="0" w:color="auto"/>
              <w:left w:val="single" w:sz="4" w:space="0" w:color="auto"/>
              <w:bottom w:val="single" w:sz="4" w:space="0" w:color="auto"/>
              <w:right w:val="single" w:sz="4" w:space="0" w:color="auto"/>
            </w:tcBorders>
          </w:tcPr>
          <w:p w:rsidR="000E099D" w:rsidRPr="00935437" w:rsidRDefault="000E099D" w:rsidP="00410BD9">
            <w:pPr>
              <w:numPr>
                <w:ilvl w:val="0"/>
                <w:numId w:val="2"/>
              </w:numPr>
              <w:rPr>
                <w:rFonts w:ascii="Arial" w:hAnsi="Arial" w:cs="Arial"/>
                <w:sz w:val="24"/>
                <w:szCs w:val="24"/>
              </w:rPr>
            </w:pPr>
            <w:r w:rsidRPr="00935437">
              <w:rPr>
                <w:rFonts w:ascii="Arial" w:hAnsi="Arial" w:cs="Arial"/>
                <w:sz w:val="24"/>
                <w:szCs w:val="24"/>
              </w:rPr>
              <w:t>Scientific Advice</w:t>
            </w:r>
          </w:p>
          <w:p w:rsidR="000E099D" w:rsidRPr="00935437" w:rsidRDefault="000E099D" w:rsidP="00CB4ECD">
            <w:pPr>
              <w:ind w:left="360"/>
              <w:rPr>
                <w:rFonts w:ascii="Arial" w:hAnsi="Arial" w:cs="Arial"/>
                <w:sz w:val="24"/>
                <w:szCs w:val="24"/>
              </w:rPr>
            </w:pPr>
          </w:p>
          <w:p w:rsidR="000E099D" w:rsidRPr="00935437" w:rsidRDefault="000E099D" w:rsidP="00CB4ECD">
            <w:pPr>
              <w:ind w:left="360"/>
              <w:rPr>
                <w:rFonts w:ascii="Arial" w:hAnsi="Arial" w:cs="Arial"/>
                <w:sz w:val="24"/>
                <w:szCs w:val="24"/>
              </w:rPr>
            </w:pPr>
          </w:p>
        </w:tc>
        <w:tc>
          <w:tcPr>
            <w:tcW w:w="5206" w:type="dxa"/>
            <w:tcBorders>
              <w:top w:val="single" w:sz="4" w:space="0" w:color="auto"/>
              <w:left w:val="single" w:sz="4" w:space="0" w:color="auto"/>
              <w:bottom w:val="single" w:sz="4" w:space="0" w:color="auto"/>
              <w:right w:val="single" w:sz="4" w:space="0" w:color="auto"/>
            </w:tcBorders>
          </w:tcPr>
          <w:p w:rsidR="000E099D" w:rsidRPr="00935437" w:rsidRDefault="000E099D" w:rsidP="0066791F">
            <w:pPr>
              <w:autoSpaceDE w:val="0"/>
              <w:autoSpaceDN w:val="0"/>
              <w:adjustRightInd w:val="0"/>
              <w:spacing w:before="120" w:line="360" w:lineRule="auto"/>
              <w:rPr>
                <w:rFonts w:ascii="Arial" w:hAnsi="Arial" w:cs="Arial"/>
                <w:sz w:val="24"/>
                <w:szCs w:val="24"/>
              </w:rPr>
            </w:pPr>
            <w:r w:rsidRPr="00935437">
              <w:rPr>
                <w:rFonts w:ascii="Arial" w:hAnsi="Arial" w:cs="Arial"/>
                <w:sz w:val="24"/>
                <w:szCs w:val="24"/>
              </w:rPr>
              <w:sym w:font="Wingdings" w:char="F028"/>
            </w:r>
            <w:r w:rsidRPr="00935437">
              <w:rPr>
                <w:rFonts w:ascii="Arial" w:hAnsi="Arial" w:cs="Arial"/>
                <w:sz w:val="24"/>
                <w:szCs w:val="24"/>
              </w:rPr>
              <w:t xml:space="preserve"> </w:t>
            </w:r>
            <w:r w:rsidR="00515506">
              <w:rPr>
                <w:rFonts w:ascii="Arial" w:hAnsi="Arial" w:cs="Arial"/>
                <w:sz w:val="24"/>
                <w:szCs w:val="24"/>
              </w:rPr>
              <w:t>01224 285111</w:t>
            </w:r>
          </w:p>
          <w:p w:rsidR="000E099D" w:rsidRPr="00935437" w:rsidRDefault="000E099D" w:rsidP="0066791F">
            <w:pPr>
              <w:autoSpaceDE w:val="0"/>
              <w:autoSpaceDN w:val="0"/>
              <w:adjustRightInd w:val="0"/>
              <w:spacing w:line="360" w:lineRule="auto"/>
              <w:rPr>
                <w:rFonts w:ascii="Arial" w:hAnsi="Arial" w:cs="Arial"/>
                <w:sz w:val="24"/>
                <w:szCs w:val="24"/>
              </w:rPr>
            </w:pPr>
          </w:p>
        </w:tc>
      </w:tr>
      <w:bookmarkEnd w:id="4"/>
      <w:bookmarkEnd w:id="5"/>
      <w:bookmarkEnd w:id="6"/>
      <w:bookmarkEnd w:id="7"/>
      <w:bookmarkEnd w:id="8"/>
      <w:bookmarkEnd w:id="9"/>
      <w:bookmarkEnd w:id="10"/>
    </w:tbl>
    <w:p w:rsidR="00A04D11" w:rsidRPr="004324EE" w:rsidRDefault="00A04D11">
      <w:pPr>
        <w:ind w:left="60"/>
        <w:rPr>
          <w:rFonts w:ascii="Arial" w:hAnsi="Arial" w:cs="Arial"/>
          <w:b/>
          <w:sz w:val="24"/>
          <w:szCs w:val="24"/>
          <w:u w:val="single"/>
        </w:rPr>
      </w:pPr>
    </w:p>
    <w:p w:rsidR="00A04D11" w:rsidRPr="004324EE" w:rsidRDefault="00A04D11">
      <w:pPr>
        <w:ind w:left="60"/>
        <w:rPr>
          <w:rFonts w:ascii="Arial" w:hAnsi="Arial" w:cs="Arial"/>
          <w:b/>
          <w:sz w:val="24"/>
          <w:szCs w:val="24"/>
          <w:u w:val="single"/>
        </w:rPr>
      </w:pPr>
    </w:p>
    <w:p w:rsidR="00A04D11" w:rsidRDefault="008D6DAA">
      <w:pPr>
        <w:rPr>
          <w:rFonts w:ascii="Arial" w:hAnsi="Arial"/>
          <w:sz w:val="24"/>
        </w:rPr>
      </w:pPr>
      <w:r>
        <w:rPr>
          <w:rFonts w:ascii="Arial" w:hAnsi="Arial"/>
          <w:sz w:val="24"/>
        </w:rPr>
        <w:br w:type="page"/>
      </w:r>
    </w:p>
    <w:p w:rsidR="001C059C" w:rsidRPr="00C46EC3" w:rsidRDefault="009C75E5" w:rsidP="009C75E5">
      <w:pPr>
        <w:pStyle w:val="FSAGuidanceHeading2"/>
      </w:pPr>
      <w:bookmarkStart w:id="26" w:name="_Toc462655885"/>
      <w:bookmarkStart w:id="27" w:name="Chapter19"/>
      <w:r w:rsidRPr="009C75E5">
        <w:t xml:space="preserve">SECTION 1:  </w:t>
      </w:r>
      <w:r w:rsidR="00D756DD" w:rsidRPr="009C75E5">
        <w:t>General obligations on scallop harvesters and businesses</w:t>
      </w:r>
      <w:bookmarkEnd w:id="26"/>
    </w:p>
    <w:p w:rsidR="001C059C" w:rsidRDefault="001C059C" w:rsidP="001C059C">
      <w:pPr>
        <w:pStyle w:val="Heading3"/>
      </w:pPr>
      <w:bookmarkStart w:id="28" w:name="Introduction9"/>
      <w:bookmarkEnd w:id="27"/>
      <w:r>
        <w:t xml:space="preserve"> </w:t>
      </w:r>
      <w:bookmarkStart w:id="29" w:name="_Toc462655886"/>
      <w:r>
        <w:t>Introduction</w:t>
      </w:r>
      <w:bookmarkEnd w:id="29"/>
    </w:p>
    <w:p w:rsidR="004321C5" w:rsidRPr="004321C5" w:rsidRDefault="004321C5" w:rsidP="004321C5"/>
    <w:bookmarkEnd w:id="28"/>
    <w:p w:rsidR="00F47B2C" w:rsidRDefault="00F47B2C" w:rsidP="00935437">
      <w:pPr>
        <w:pStyle w:val="BomTextInd"/>
        <w:tabs>
          <w:tab w:val="clear" w:pos="1701"/>
          <w:tab w:val="clear" w:pos="1843"/>
          <w:tab w:val="left" w:pos="851"/>
        </w:tabs>
        <w:ind w:left="851" w:hanging="568"/>
      </w:pPr>
      <w:r>
        <w:t xml:space="preserve">All food businesses are required to register with their local authority prior to trading.  </w:t>
      </w:r>
      <w:r w:rsidR="008E440F">
        <w:t xml:space="preserve">This will enable a local authority to </w:t>
      </w:r>
      <w:r>
        <w:t xml:space="preserve">make a determination as to whether or not that business requires to be approved </w:t>
      </w:r>
      <w:r w:rsidR="0036266E">
        <w:t>and only</w:t>
      </w:r>
      <w:r>
        <w:t xml:space="preserve"> businesses with </w:t>
      </w:r>
      <w:r w:rsidR="00A36F5A">
        <w:t>an effective h</w:t>
      </w:r>
      <w:r w:rsidR="0036266E">
        <w:t xml:space="preserve">azard analysis and critical control point (HACCP) </w:t>
      </w:r>
      <w:r w:rsidR="00411702">
        <w:t xml:space="preserve">system </w:t>
      </w:r>
      <w:r>
        <w:t>will be approved</w:t>
      </w:r>
      <w:r w:rsidR="0036266E">
        <w:t>.</w:t>
      </w:r>
      <w:r>
        <w:t xml:space="preserve"> </w:t>
      </w:r>
      <w:r w:rsidR="00A36F5A">
        <w:t xml:space="preserve"> </w:t>
      </w:r>
      <w:r w:rsidR="0036266E">
        <w:t>Any</w:t>
      </w:r>
      <w:r w:rsidR="00A46221">
        <w:t xml:space="preserve"> business</w:t>
      </w:r>
      <w:r w:rsidR="008E440F">
        <w:t xml:space="preserve"> (including primary producers involved in direct sale)</w:t>
      </w:r>
      <w:r w:rsidR="00A46221">
        <w:t xml:space="preserve"> that </w:t>
      </w:r>
      <w:r w:rsidR="008E440F">
        <w:t>the local authority considers to</w:t>
      </w:r>
      <w:r w:rsidR="00A46221">
        <w:t xml:space="preserve"> require approval but operates without the approval being granted </w:t>
      </w:r>
      <w:r w:rsidR="0036266E">
        <w:t>may</w:t>
      </w:r>
      <w:r w:rsidR="00A46221">
        <w:t xml:space="preserve"> also be subject to enforcement action</w:t>
      </w:r>
      <w:r w:rsidR="009F7DF8">
        <w:rPr>
          <w:rStyle w:val="FootnoteReference"/>
        </w:rPr>
        <w:footnoteReference w:id="3"/>
      </w:r>
      <w:r w:rsidR="00A46221">
        <w:t xml:space="preserve">. </w:t>
      </w:r>
      <w:r w:rsidR="008E440F">
        <w:t>This will allow enforcement officers to consider whether or not food safety management systems in place across the sector are sufficiently robust in order to protect public health.  This is particularly important for shellfish toxins.</w:t>
      </w:r>
    </w:p>
    <w:p w:rsidR="001C059C" w:rsidRDefault="001C059C" w:rsidP="00935437">
      <w:pPr>
        <w:pStyle w:val="BomTextInd"/>
        <w:tabs>
          <w:tab w:val="clear" w:pos="1701"/>
          <w:tab w:val="clear" w:pos="1843"/>
          <w:tab w:val="left" w:pos="851"/>
        </w:tabs>
        <w:ind w:left="851" w:hanging="568"/>
      </w:pPr>
      <w:r>
        <w:t xml:space="preserve">Marine biotoxins produced by phytoplankton can accumulate in the tissues of filter-feeding bivalve shellfish.  Toxin related illness can occur, if contaminated shellfish are consumed by humans. </w:t>
      </w:r>
      <w:r w:rsidR="008D6DAA">
        <w:t xml:space="preserve"> </w:t>
      </w:r>
      <w:r w:rsidR="00F80666">
        <w:t xml:space="preserve">In addition to the clear public health risks associated with shellfish toxins, any non-compliant product originating </w:t>
      </w:r>
      <w:r w:rsidR="004324EE">
        <w:t>from</w:t>
      </w:r>
      <w:r w:rsidR="00F80666">
        <w:t xml:space="preserve"> Scotland has the potential to damage the reputation of the wider shellfish industry</w:t>
      </w:r>
      <w:r w:rsidR="004324EE">
        <w:t>.</w:t>
      </w:r>
      <w:r w:rsidR="001919D1">
        <w:t xml:space="preserve"> </w:t>
      </w:r>
      <w:r w:rsidR="00D756DD">
        <w:t xml:space="preserve">This </w:t>
      </w:r>
      <w:r w:rsidR="008D6DAA">
        <w:t>section</w:t>
      </w:r>
      <w:r w:rsidR="00D756DD">
        <w:t xml:space="preserve"> outlines the general obligations of all those involved in the production of shellfish for </w:t>
      </w:r>
      <w:r w:rsidR="0036266E">
        <w:t>both the wholesale and</w:t>
      </w:r>
      <w:r w:rsidR="00D756DD">
        <w:t xml:space="preserve"> retail market.</w:t>
      </w:r>
    </w:p>
    <w:p w:rsidR="00151222" w:rsidRPr="00151222" w:rsidRDefault="00C46EC3" w:rsidP="00151222">
      <w:pPr>
        <w:pStyle w:val="BomTextInd"/>
        <w:tabs>
          <w:tab w:val="clear" w:pos="1701"/>
          <w:tab w:val="clear" w:pos="1843"/>
          <w:tab w:val="left" w:pos="851"/>
        </w:tabs>
        <w:ind w:left="851" w:hanging="568"/>
        <w:rPr>
          <w:u w:val="single"/>
        </w:rPr>
      </w:pPr>
      <w:r>
        <w:t xml:space="preserve">In relation to shellfish toxins, the maximum permitted levels are set out in 853/2004.  Compliance with these limits therefore </w:t>
      </w:r>
      <w:r w:rsidR="009871E4">
        <w:t xml:space="preserve">applies to all batches of the product sold and whilst it is up to food businesses to define what constitutes a batch, a working definition of ‘batch’ is </w:t>
      </w:r>
      <w:r w:rsidR="00AB70A2">
        <w:t xml:space="preserve">suggested </w:t>
      </w:r>
      <w:r w:rsidR="009871E4">
        <w:t xml:space="preserve">at </w:t>
      </w:r>
      <w:r w:rsidR="009871E4" w:rsidRPr="009871E4">
        <w:rPr>
          <w:b/>
        </w:rPr>
        <w:t>Annex E.</w:t>
      </w:r>
      <w:r w:rsidR="004A12BA">
        <w:rPr>
          <w:b/>
        </w:rPr>
        <w:t xml:space="preserve">  </w:t>
      </w:r>
      <w:r w:rsidR="004A12BA" w:rsidRPr="00093884">
        <w:t xml:space="preserve">This definition does </w:t>
      </w:r>
      <w:r w:rsidR="004A12BA" w:rsidRPr="00093884">
        <w:rPr>
          <w:u w:val="single"/>
        </w:rPr>
        <w:t>not</w:t>
      </w:r>
      <w:r w:rsidR="004A12BA" w:rsidRPr="00093884">
        <w:t xml:space="preserve"> replace the legal definition of a batch as set out in EC regulation 178/2002</w:t>
      </w:r>
      <w:r w:rsidR="00E27000">
        <w:rPr>
          <w:rStyle w:val="FootnoteReference"/>
        </w:rPr>
        <w:footnoteReference w:id="4"/>
      </w:r>
      <w:r w:rsidR="004A12BA" w:rsidRPr="00093884">
        <w:t xml:space="preserve"> which will form the legal test in determining food safety in any given instance.</w:t>
      </w:r>
      <w:r w:rsidR="004A12BA">
        <w:t xml:space="preserve">  </w:t>
      </w:r>
    </w:p>
    <w:p w:rsidR="00796DA0" w:rsidRDefault="00796DA0" w:rsidP="00796DA0">
      <w:pPr>
        <w:pStyle w:val="Heading3"/>
      </w:pPr>
      <w:bookmarkStart w:id="30" w:name="_Toc462655887"/>
      <w:r>
        <w:t>Shellfish toxins:  Maximum permitted levels</w:t>
      </w:r>
      <w:bookmarkEnd w:id="30"/>
    </w:p>
    <w:p w:rsidR="00796DA0" w:rsidRPr="008D6DAA" w:rsidRDefault="00796DA0" w:rsidP="00796DA0"/>
    <w:p w:rsidR="00796DA0" w:rsidRPr="00485A1F" w:rsidRDefault="00796DA0" w:rsidP="00796DA0">
      <w:pPr>
        <w:pStyle w:val="Bulletindent"/>
        <w:rPr>
          <w:sz w:val="24"/>
          <w:szCs w:val="24"/>
        </w:rPr>
      </w:pPr>
      <w:r w:rsidRPr="00485A1F">
        <w:rPr>
          <w:sz w:val="24"/>
          <w:szCs w:val="24"/>
        </w:rPr>
        <w:t xml:space="preserve">ASP - 20 </w:t>
      </w:r>
      <w:r>
        <w:rPr>
          <w:sz w:val="24"/>
          <w:szCs w:val="24"/>
        </w:rPr>
        <w:t xml:space="preserve">milligrams </w:t>
      </w:r>
      <w:r w:rsidRPr="00485A1F">
        <w:rPr>
          <w:sz w:val="24"/>
          <w:szCs w:val="24"/>
        </w:rPr>
        <w:t xml:space="preserve">of domoic acid per kilogram flesh </w:t>
      </w:r>
    </w:p>
    <w:p w:rsidR="00796DA0" w:rsidRPr="00485A1F" w:rsidRDefault="00796DA0" w:rsidP="00796DA0">
      <w:pPr>
        <w:pStyle w:val="FSAGuidancebullet"/>
      </w:pPr>
      <w:r w:rsidRPr="00485A1F">
        <w:t>Lipophilic Toxins</w:t>
      </w:r>
      <w:r>
        <w:t>:</w:t>
      </w:r>
    </w:p>
    <w:p w:rsidR="00796DA0" w:rsidRPr="00485A1F" w:rsidRDefault="00796DA0" w:rsidP="00796DA0">
      <w:pPr>
        <w:pStyle w:val="FSAGuidancebullet"/>
        <w:numPr>
          <w:ilvl w:val="1"/>
          <w:numId w:val="6"/>
        </w:numPr>
      </w:pPr>
      <w:r w:rsidRPr="00485A1F">
        <w:t xml:space="preserve">160 </w:t>
      </w:r>
      <w:r>
        <w:t xml:space="preserve">micrograms </w:t>
      </w:r>
      <w:r w:rsidRPr="00485A1F">
        <w:t>OA/DTX/PTX per kilogram flesh</w:t>
      </w:r>
    </w:p>
    <w:p w:rsidR="00796DA0" w:rsidRPr="00485A1F" w:rsidRDefault="00796DA0" w:rsidP="00796DA0">
      <w:pPr>
        <w:pStyle w:val="FSAGuidancebullet"/>
        <w:numPr>
          <w:ilvl w:val="1"/>
          <w:numId w:val="6"/>
        </w:numPr>
      </w:pPr>
      <w:r w:rsidRPr="00485A1F">
        <w:t xml:space="preserve">160 </w:t>
      </w:r>
      <w:r>
        <w:t>micrograms</w:t>
      </w:r>
      <w:r w:rsidRPr="00485A1F">
        <w:t xml:space="preserve"> AZA per kilogram flesh</w:t>
      </w:r>
    </w:p>
    <w:p w:rsidR="00796DA0" w:rsidRPr="00527800" w:rsidRDefault="00796DA0" w:rsidP="00796DA0">
      <w:pPr>
        <w:pStyle w:val="FSAGuidancebullet"/>
        <w:numPr>
          <w:ilvl w:val="1"/>
          <w:numId w:val="6"/>
        </w:numPr>
      </w:pPr>
      <w:r>
        <w:lastRenderedPageBreak/>
        <w:t>3.75 milligrams</w:t>
      </w:r>
      <w:r w:rsidRPr="00527800">
        <w:t xml:space="preserve"> </w:t>
      </w:r>
      <w:proofErr w:type="spellStart"/>
      <w:r w:rsidRPr="00527800">
        <w:t>YTX</w:t>
      </w:r>
      <w:proofErr w:type="spellEnd"/>
      <w:r w:rsidRPr="00527800">
        <w:t xml:space="preserve"> per kilogram flesh</w:t>
      </w:r>
    </w:p>
    <w:p w:rsidR="00796DA0" w:rsidRPr="00093884" w:rsidRDefault="00796DA0" w:rsidP="00093884">
      <w:pPr>
        <w:pStyle w:val="FSAGuidancebullet"/>
      </w:pPr>
      <w:r w:rsidRPr="00527800">
        <w:t>PSP - 80</w:t>
      </w:r>
      <w:r>
        <w:t>0 micrograms</w:t>
      </w:r>
      <w:r w:rsidRPr="00527800">
        <w:t xml:space="preserve"> per </w:t>
      </w:r>
      <w:r>
        <w:t>kilo</w:t>
      </w:r>
      <w:r w:rsidRPr="00527800">
        <w:t xml:space="preserve">gram flesh. </w:t>
      </w:r>
    </w:p>
    <w:p w:rsidR="00732FB9" w:rsidRDefault="003A0C64" w:rsidP="00A36F5A">
      <w:pPr>
        <w:pStyle w:val="BomTextInd"/>
        <w:tabs>
          <w:tab w:val="clear" w:pos="1843"/>
          <w:tab w:val="clear" w:pos="2552"/>
          <w:tab w:val="left" w:pos="851"/>
        </w:tabs>
        <w:ind w:left="993" w:hanging="568"/>
      </w:pPr>
      <w:r>
        <w:t xml:space="preserve">Whilst the </w:t>
      </w:r>
      <w:r w:rsidRPr="006068BF">
        <w:t>Amnesic Shellfish Poisoning toxin, domoic acid, has historically</w:t>
      </w:r>
      <w:r>
        <w:t xml:space="preserve"> </w:t>
      </w:r>
      <w:r w:rsidRPr="006068BF">
        <w:t xml:space="preserve">been more prevalent in Scottish king scallops than in other shellfish species, scallops are filter </w:t>
      </w:r>
      <w:r w:rsidR="00BA3BD0">
        <w:t xml:space="preserve">feeders </w:t>
      </w:r>
      <w:r w:rsidRPr="006068BF">
        <w:t>and can accumulate other biotoxins, such as lipophilic toxins and PSP causing toxins too</w:t>
      </w:r>
      <w:r>
        <w:t>.</w:t>
      </w:r>
    </w:p>
    <w:p w:rsidR="00732FB9" w:rsidRPr="00732FB9" w:rsidRDefault="00732FB9" w:rsidP="00732FB9">
      <w:pPr>
        <w:pStyle w:val="BomTextInd"/>
        <w:numPr>
          <w:ilvl w:val="0"/>
          <w:numId w:val="0"/>
        </w:numPr>
        <w:tabs>
          <w:tab w:val="clear" w:pos="2552"/>
          <w:tab w:val="left" w:pos="851"/>
        </w:tabs>
        <w:ind w:left="425"/>
        <w:rPr>
          <w:b/>
          <w:u w:val="single"/>
        </w:rPr>
      </w:pPr>
      <w:r w:rsidRPr="00732FB9">
        <w:rPr>
          <w:b/>
          <w:u w:val="single"/>
        </w:rPr>
        <w:t>Shucking</w:t>
      </w:r>
    </w:p>
    <w:p w:rsidR="00732FB9" w:rsidRDefault="00151222" w:rsidP="00A36F5A">
      <w:pPr>
        <w:pStyle w:val="BomTextInd"/>
        <w:tabs>
          <w:tab w:val="clear" w:pos="1843"/>
          <w:tab w:val="clear" w:pos="2552"/>
          <w:tab w:val="left" w:pos="851"/>
        </w:tabs>
        <w:ind w:left="993" w:hanging="568"/>
      </w:pPr>
      <w:r>
        <w:t xml:space="preserve">Irrespective of whether scallops come from an approved or non-approved producer, scientific studies indicate that adequate </w:t>
      </w:r>
      <w:r w:rsidRPr="00A36F5A">
        <w:t xml:space="preserve">shucking (which includes washing) </w:t>
      </w:r>
      <w:r>
        <w:t xml:space="preserve">will </w:t>
      </w:r>
      <w:r w:rsidR="00BA3BD0">
        <w:t xml:space="preserve">significantly </w:t>
      </w:r>
      <w:r>
        <w:t>reduce the risk of shellfish toxins in scallops</w:t>
      </w:r>
      <w:r w:rsidR="00A36F5A">
        <w:t>.</w:t>
      </w:r>
    </w:p>
    <w:p w:rsidR="00C438D4" w:rsidRPr="00A36F5A" w:rsidRDefault="00732FB9" w:rsidP="00A36F5A">
      <w:pPr>
        <w:pStyle w:val="BomTextInd"/>
        <w:tabs>
          <w:tab w:val="clear" w:pos="1843"/>
          <w:tab w:val="clear" w:pos="2552"/>
          <w:tab w:val="left" w:pos="851"/>
        </w:tabs>
        <w:ind w:left="993" w:hanging="568"/>
      </w:pPr>
      <w:r>
        <w:t>T</w:t>
      </w:r>
      <w:r w:rsidR="006068BF">
        <w:t>he term ‘shucking’ in this document therefore includes reference to the wash step which is important in ensuring that toxins, which may be found within the gut loop, are removed.  This means that eviscerated scallops should be subject to vigorous washing and agitation following careful removal of the non-edible parts.</w:t>
      </w:r>
      <w:r w:rsidR="009736CB">
        <w:t xml:space="preserve">  </w:t>
      </w:r>
      <w:r w:rsidR="00EF7604">
        <w:t xml:space="preserve">Scallops should not be left in </w:t>
      </w:r>
      <w:r w:rsidR="008E440F">
        <w:t xml:space="preserve">static </w:t>
      </w:r>
      <w:r w:rsidR="00EF7604">
        <w:t xml:space="preserve">water baths where cross contamination can occur. </w:t>
      </w:r>
    </w:p>
    <w:p w:rsidR="00470423" w:rsidRDefault="00860CC1" w:rsidP="00935437">
      <w:pPr>
        <w:pStyle w:val="BomTextInd"/>
        <w:tabs>
          <w:tab w:val="clear" w:pos="1701"/>
          <w:tab w:val="left" w:pos="851"/>
        </w:tabs>
        <w:ind w:left="851" w:hanging="567"/>
      </w:pPr>
      <w:r>
        <w:t xml:space="preserve">Seafish have provided the following advice on their </w:t>
      </w:r>
      <w:hyperlink r:id="rId16" w:history="1">
        <w:r w:rsidRPr="00860CC1">
          <w:rPr>
            <w:rStyle w:val="Hyperlink"/>
          </w:rPr>
          <w:t>website</w:t>
        </w:r>
      </w:hyperlink>
      <w:r w:rsidR="006068BF">
        <w:t>.</w:t>
      </w:r>
      <w:r>
        <w:t xml:space="preserve">  </w:t>
      </w:r>
      <w:r w:rsidR="000200DA">
        <w:t>Guidance will also be made available on the FSS website in due course</w:t>
      </w:r>
    </w:p>
    <w:p w:rsidR="00C438D4" w:rsidRDefault="006068BF" w:rsidP="00935437">
      <w:pPr>
        <w:pStyle w:val="BomTextInd"/>
        <w:tabs>
          <w:tab w:val="clear" w:pos="1701"/>
          <w:tab w:val="left" w:pos="851"/>
        </w:tabs>
        <w:ind w:left="851" w:hanging="567"/>
      </w:pPr>
      <w:r>
        <w:t>Effective shucking practice</w:t>
      </w:r>
      <w:r w:rsidR="005C0310">
        <w:t xml:space="preserve"> should</w:t>
      </w:r>
      <w:r w:rsidR="0036266E">
        <w:t xml:space="preserve"> therefore</w:t>
      </w:r>
      <w:r w:rsidR="005C0310">
        <w:t>:</w:t>
      </w:r>
    </w:p>
    <w:p w:rsidR="005C0310" w:rsidRDefault="005C0310" w:rsidP="00410BD9">
      <w:pPr>
        <w:pStyle w:val="BomTextInd"/>
        <w:numPr>
          <w:ilvl w:val="0"/>
          <w:numId w:val="7"/>
        </w:numPr>
        <w:spacing w:after="0"/>
      </w:pPr>
      <w:r>
        <w:t>Remove all traces of the gut loop</w:t>
      </w:r>
    </w:p>
    <w:p w:rsidR="005C0310" w:rsidRDefault="005C0310" w:rsidP="00410BD9">
      <w:pPr>
        <w:pStyle w:val="BomTextInd"/>
        <w:numPr>
          <w:ilvl w:val="0"/>
          <w:numId w:val="7"/>
        </w:numPr>
        <w:spacing w:after="0"/>
      </w:pPr>
      <w:r>
        <w:t>Involve rigorous washing</w:t>
      </w:r>
      <w:r w:rsidR="00A36F5A">
        <w:t xml:space="preserve"> for 10 minutes</w:t>
      </w:r>
    </w:p>
    <w:p w:rsidR="005C0310" w:rsidRDefault="005C0310" w:rsidP="00410BD9">
      <w:pPr>
        <w:pStyle w:val="BomTextInd"/>
        <w:numPr>
          <w:ilvl w:val="0"/>
          <w:numId w:val="7"/>
        </w:numPr>
        <w:spacing w:after="0"/>
      </w:pPr>
      <w:r>
        <w:t xml:space="preserve">Ensure cross contamination of the gut content </w:t>
      </w:r>
      <w:r w:rsidR="00C84E42">
        <w:t xml:space="preserve">to </w:t>
      </w:r>
      <w:r>
        <w:t xml:space="preserve"> the </w:t>
      </w:r>
      <w:r w:rsidR="00C84E42">
        <w:t xml:space="preserve">edible </w:t>
      </w:r>
      <w:r>
        <w:t>flesh is minimised at all times.</w:t>
      </w:r>
    </w:p>
    <w:p w:rsidR="00AB5090" w:rsidRPr="008572B0" w:rsidRDefault="00AB5090" w:rsidP="00AB5090">
      <w:pPr>
        <w:pStyle w:val="BomTextInd"/>
        <w:numPr>
          <w:ilvl w:val="0"/>
          <w:numId w:val="0"/>
        </w:numPr>
        <w:spacing w:after="0"/>
        <w:ind w:left="1571"/>
      </w:pPr>
    </w:p>
    <w:p w:rsidR="005C0310" w:rsidRDefault="005C0310" w:rsidP="00935437">
      <w:pPr>
        <w:pStyle w:val="BomTextInd"/>
        <w:tabs>
          <w:tab w:val="clear" w:pos="1701"/>
          <w:tab w:val="left" w:pos="851"/>
        </w:tabs>
        <w:ind w:left="851" w:hanging="567"/>
      </w:pPr>
      <w:r w:rsidRPr="00D279AF">
        <w:rPr>
          <w:b/>
        </w:rPr>
        <w:t>Annex A</w:t>
      </w:r>
      <w:r>
        <w:t xml:space="preserve"> provides shucking diagrams for reference.</w:t>
      </w:r>
    </w:p>
    <w:p w:rsidR="00D279AF" w:rsidRDefault="00D279AF" w:rsidP="00D279AF">
      <w:pPr>
        <w:pStyle w:val="Heading3"/>
      </w:pPr>
      <w:bookmarkStart w:id="31" w:name="_Toc462655889"/>
      <w:r>
        <w:t>End product testing</w:t>
      </w:r>
      <w:bookmarkEnd w:id="31"/>
    </w:p>
    <w:p w:rsidR="004321C5" w:rsidRPr="004321C5" w:rsidRDefault="004321C5" w:rsidP="004321C5"/>
    <w:p w:rsidR="00D279AF" w:rsidRDefault="00D279AF" w:rsidP="00935437">
      <w:pPr>
        <w:pStyle w:val="BomTextInd"/>
        <w:tabs>
          <w:tab w:val="clear" w:pos="1701"/>
          <w:tab w:val="left" w:pos="851"/>
        </w:tabs>
        <w:ind w:left="851" w:hanging="567"/>
      </w:pPr>
      <w:r>
        <w:t>Shucking is not a substitution for end product testing</w:t>
      </w:r>
      <w:r w:rsidR="00321465">
        <w:t xml:space="preserve"> (</w:t>
      </w:r>
      <w:r w:rsidR="000200DA">
        <w:t>EPT</w:t>
      </w:r>
      <w:r w:rsidR="00321465">
        <w:t>)</w:t>
      </w:r>
      <w:r w:rsidR="000200DA">
        <w:t>.  H</w:t>
      </w:r>
      <w:r>
        <w:t>owever EPT can be reduced as part of a food safety management system, where for example, continuously high standards of shucking are maintained.</w:t>
      </w:r>
      <w:r w:rsidR="0036266E" w:rsidRPr="0036266E">
        <w:t xml:space="preserve"> </w:t>
      </w:r>
      <w:r w:rsidR="0036266E">
        <w:t xml:space="preserve"> </w:t>
      </w:r>
      <w:r w:rsidR="0036266E" w:rsidRPr="0036266E">
        <w:t xml:space="preserve">FSS has produced the following information for harvesters and processors on the types of </w:t>
      </w:r>
      <w:hyperlink r:id="rId17" w:history="1">
        <w:r w:rsidR="0036266E" w:rsidRPr="0036266E">
          <w:rPr>
            <w:rStyle w:val="Hyperlink"/>
            <w:u w:val="none"/>
          </w:rPr>
          <w:t>end product test kits</w:t>
        </w:r>
      </w:hyperlink>
      <w:r w:rsidR="0036266E" w:rsidRPr="0036266E">
        <w:t xml:space="preserve"> which are commercially  available to detect these biotoxins.  These kits are relatively inexpensive and easy to use and should be considered an integral part of any food safety management system for shellfish toxins.</w:t>
      </w:r>
    </w:p>
    <w:p w:rsidR="00796DA0" w:rsidRDefault="00796DA0" w:rsidP="00093884">
      <w:pPr>
        <w:pStyle w:val="FSAGuidanceHeading2"/>
      </w:pPr>
      <w:bookmarkStart w:id="32" w:name="_Toc462655890"/>
      <w:r>
        <w:lastRenderedPageBreak/>
        <w:t xml:space="preserve">SECTION </w:t>
      </w:r>
      <w:r w:rsidR="009C75E5">
        <w:t>2</w:t>
      </w:r>
      <w:r>
        <w:t>:  CONTROLS APPLICABLE TO SCALLOP ESTABLISHMENTS APPROVED UNDER 853/2004</w:t>
      </w:r>
      <w:bookmarkEnd w:id="32"/>
      <w:r w:rsidR="009736CB">
        <w:t xml:space="preserve"> AND HARVESTERS SUPPLYING SUCH ESTABLISHMENTS</w:t>
      </w:r>
    </w:p>
    <w:p w:rsidR="009C75E5" w:rsidRDefault="00C46EC3" w:rsidP="009C75E5">
      <w:pPr>
        <w:pStyle w:val="Heading3"/>
        <w:tabs>
          <w:tab w:val="left" w:pos="851"/>
        </w:tabs>
      </w:pPr>
      <w:bookmarkStart w:id="33" w:name="_Toc462655891"/>
      <w:r>
        <w:t>FBO obligations, o</w:t>
      </w:r>
      <w:r w:rsidR="00E149D7">
        <w:t>fficial controls</w:t>
      </w:r>
      <w:r w:rsidR="009C75E5" w:rsidRPr="009C75E5">
        <w:t xml:space="preserve"> </w:t>
      </w:r>
      <w:r w:rsidR="009C75E5">
        <w:t>and action in the event of a failed sample or inadequate HACCP</w:t>
      </w:r>
      <w:bookmarkEnd w:id="33"/>
    </w:p>
    <w:p w:rsidR="00E149D7" w:rsidRDefault="00E149D7" w:rsidP="00935437">
      <w:pPr>
        <w:pStyle w:val="Heading3"/>
        <w:tabs>
          <w:tab w:val="left" w:pos="851"/>
        </w:tabs>
      </w:pPr>
    </w:p>
    <w:p w:rsidR="00C46EC3" w:rsidRDefault="00C46EC3" w:rsidP="00C46EC3">
      <w:pPr>
        <w:pStyle w:val="BomTextInd"/>
        <w:tabs>
          <w:tab w:val="clear" w:pos="1701"/>
          <w:tab w:val="clear" w:pos="1843"/>
          <w:tab w:val="clear" w:pos="2552"/>
          <w:tab w:val="left" w:pos="851"/>
        </w:tabs>
        <w:ind w:left="851" w:hanging="568"/>
      </w:pPr>
      <w:r>
        <w:t>In Scotland, scallop controls are applied in accordance with Chapter IX, Section VII, Annex III of 853/2004..</w:t>
      </w:r>
      <w:r w:rsidR="007155C5">
        <w:t xml:space="preserve">  The regulations require that, for scallops outwith classified areas, f</w:t>
      </w:r>
      <w:r>
        <w:t xml:space="preserve">ood businesses </w:t>
      </w:r>
      <w:r w:rsidR="007155C5">
        <w:t xml:space="preserve">must </w:t>
      </w:r>
      <w:r>
        <w:t xml:space="preserve">not place those products on the market unless they are harvested and handled in </w:t>
      </w:r>
      <w:r w:rsidR="007155C5">
        <w:t>appropriately and are compliant with health standards “</w:t>
      </w:r>
      <w:r w:rsidRPr="0036266E">
        <w:rPr>
          <w:b/>
          <w:u w:val="single"/>
        </w:rPr>
        <w:t>as proved by a system of own checks</w:t>
      </w:r>
      <w:r w:rsidR="0036266E">
        <w:t>”.</w:t>
      </w:r>
    </w:p>
    <w:p w:rsidR="00C46EC3" w:rsidRDefault="00C46EC3" w:rsidP="00C46EC3">
      <w:pPr>
        <w:pStyle w:val="BomTextInd"/>
        <w:tabs>
          <w:tab w:val="clear" w:pos="1701"/>
          <w:tab w:val="clear" w:pos="1843"/>
          <w:tab w:val="clear" w:pos="2552"/>
          <w:tab w:val="left" w:pos="851"/>
        </w:tabs>
        <w:ind w:left="851" w:hanging="568"/>
      </w:pPr>
      <w:r>
        <w:t xml:space="preserve">A link to EC regulation 853/2004 can be found </w:t>
      </w:r>
      <w:hyperlink r:id="rId18" w:history="1">
        <w:r w:rsidRPr="000E099D">
          <w:rPr>
            <w:rStyle w:val="Hyperlink"/>
          </w:rPr>
          <w:t>here</w:t>
        </w:r>
      </w:hyperlink>
      <w:r w:rsidR="0036266E">
        <w:t xml:space="preserve"> but clearly, unless a system of o</w:t>
      </w:r>
      <w:r w:rsidR="004D02EF">
        <w:t xml:space="preserve">wn checks is demonstrated, scallops cannot be sold.  End product testing </w:t>
      </w:r>
      <w:r w:rsidR="004D02EF" w:rsidRPr="004D02EF">
        <w:rPr>
          <w:u w:val="single"/>
        </w:rPr>
        <w:t>must</w:t>
      </w:r>
      <w:r w:rsidR="004D02EF">
        <w:t xml:space="preserve"> therefore be considered to be a significant feature of any food safety management system.</w:t>
      </w:r>
    </w:p>
    <w:p w:rsidR="00C46EC3" w:rsidRPr="00093884" w:rsidRDefault="00C46EC3" w:rsidP="00093884">
      <w:pPr>
        <w:pStyle w:val="BomTextInd"/>
        <w:tabs>
          <w:tab w:val="clear" w:pos="1701"/>
          <w:tab w:val="clear" w:pos="1843"/>
          <w:tab w:val="left" w:pos="851"/>
        </w:tabs>
        <w:ind w:left="851" w:hanging="568"/>
        <w:rPr>
          <w:u w:val="single"/>
        </w:rPr>
      </w:pPr>
      <w:r>
        <w:t>In relation to LBM</w:t>
      </w:r>
      <w:r w:rsidR="00A02DAF">
        <w:t xml:space="preserve"> </w:t>
      </w:r>
      <w:r>
        <w:t xml:space="preserve">biotoxins, </w:t>
      </w:r>
      <w:r w:rsidR="004D02EF">
        <w:t>these</w:t>
      </w:r>
      <w:r>
        <w:t xml:space="preserve"> system</w:t>
      </w:r>
      <w:r w:rsidR="004D02EF">
        <w:t>s</w:t>
      </w:r>
      <w:r>
        <w:t xml:space="preserve">, </w:t>
      </w:r>
      <w:r w:rsidRPr="004D02EF">
        <w:rPr>
          <w:b/>
          <w:u w:val="single"/>
        </w:rPr>
        <w:t>must</w:t>
      </w:r>
      <w:r>
        <w:t xml:space="preserve"> ensure that the product complies with the maximum permitted legal levels</w:t>
      </w:r>
      <w:r w:rsidR="00BD73D6">
        <w:t xml:space="preserve"> as set out in 853/2004.</w:t>
      </w:r>
      <w:r>
        <w:t xml:space="preserve">  </w:t>
      </w:r>
    </w:p>
    <w:p w:rsidR="00220A92" w:rsidRDefault="00B962C4" w:rsidP="00935437">
      <w:pPr>
        <w:pStyle w:val="BomTextInd"/>
        <w:tabs>
          <w:tab w:val="clear" w:pos="1701"/>
          <w:tab w:val="left" w:pos="851"/>
        </w:tabs>
        <w:ind w:left="851" w:hanging="567"/>
      </w:pPr>
      <w:r>
        <w:t xml:space="preserve">Local Authorities are the </w:t>
      </w:r>
      <w:r w:rsidR="00D60B03">
        <w:t xml:space="preserve">competent </w:t>
      </w:r>
      <w:r>
        <w:t xml:space="preserve">enforcement </w:t>
      </w:r>
      <w:r w:rsidR="00410515">
        <w:t xml:space="preserve">authorities </w:t>
      </w:r>
      <w:r>
        <w:t xml:space="preserve">for </w:t>
      </w:r>
      <w:r w:rsidR="00410515">
        <w:t xml:space="preserve">approving </w:t>
      </w:r>
      <w:r>
        <w:t xml:space="preserve">shellfish processors and dispatch centres.  </w:t>
      </w:r>
      <w:r w:rsidR="00E149D7" w:rsidRPr="00E149D7">
        <w:t xml:space="preserve">In general terms LAs should follow guidance on </w:t>
      </w:r>
      <w:r>
        <w:t>i</w:t>
      </w:r>
      <w:r w:rsidR="00E149D7" w:rsidRPr="00E149D7">
        <w:t xml:space="preserve">nspection and sampling detailed within the </w:t>
      </w:r>
      <w:hyperlink r:id="rId19" w:history="1">
        <w:r w:rsidR="00F678FE" w:rsidRPr="00F678FE">
          <w:rPr>
            <w:rStyle w:val="Hyperlink"/>
          </w:rPr>
          <w:t xml:space="preserve">Food Law Code of Practice (Scotland) and Food Law Practice Guidance (Scotland). </w:t>
        </w:r>
      </w:hyperlink>
      <w:r w:rsidR="00F678FE">
        <w:t xml:space="preserve"> </w:t>
      </w:r>
    </w:p>
    <w:p w:rsidR="007155C5" w:rsidRDefault="007155C5" w:rsidP="007155C5">
      <w:pPr>
        <w:pStyle w:val="BomTextInd"/>
        <w:tabs>
          <w:tab w:val="clear" w:pos="1701"/>
          <w:tab w:val="left" w:pos="851"/>
        </w:tabs>
        <w:ind w:left="851" w:hanging="567"/>
      </w:pPr>
      <w:r w:rsidRPr="007155C5">
        <w:t>Only establishments with a</w:t>
      </w:r>
      <w:r w:rsidR="00A36F5A">
        <w:t>n</w:t>
      </w:r>
      <w:r w:rsidRPr="007155C5">
        <w:t xml:space="preserve"> </w:t>
      </w:r>
      <w:r w:rsidR="00A36F5A">
        <w:t>effective H</w:t>
      </w:r>
      <w:r w:rsidRPr="007155C5">
        <w:t xml:space="preserve">ACCP </w:t>
      </w:r>
      <w:r w:rsidR="00A36F5A">
        <w:t xml:space="preserve">system </w:t>
      </w:r>
      <w:r w:rsidRPr="007155C5">
        <w:t>should be approved for the dispatch or processing of scallops (as for other commodities)</w:t>
      </w:r>
      <w:r>
        <w:t>. I</w:t>
      </w:r>
      <w:r w:rsidRPr="007155C5">
        <w:t xml:space="preserve">f the HACCP </w:t>
      </w:r>
      <w:r w:rsidR="00411702">
        <w:t xml:space="preserve">system </w:t>
      </w:r>
      <w:r w:rsidRPr="007155C5">
        <w:t xml:space="preserve">in any business is found to be subsequently deficient it is expected that LAs will consider </w:t>
      </w:r>
      <w:r>
        <w:t>appropriate</w:t>
      </w:r>
      <w:r w:rsidRPr="007155C5">
        <w:t xml:space="preserve"> enforcement action which should include consideration of se</w:t>
      </w:r>
      <w:r>
        <w:t xml:space="preserve">rving a Remedial Action Notice </w:t>
      </w:r>
      <w:r w:rsidRPr="007155C5">
        <w:t xml:space="preserve">or potentially suspension </w:t>
      </w:r>
      <w:r>
        <w:t xml:space="preserve">or withdrawal of approval. </w:t>
      </w:r>
    </w:p>
    <w:p w:rsidR="007155C5" w:rsidRPr="007155C5" w:rsidRDefault="00A04D11" w:rsidP="007155C5">
      <w:pPr>
        <w:pStyle w:val="BomTextInd"/>
        <w:tabs>
          <w:tab w:val="clear" w:pos="1701"/>
          <w:tab w:val="left" w:pos="851"/>
        </w:tabs>
        <w:ind w:left="851" w:hanging="567"/>
      </w:pPr>
      <w:r>
        <w:t xml:space="preserve">If </w:t>
      </w:r>
      <w:r w:rsidR="009C75E5">
        <w:t>eit</w:t>
      </w:r>
      <w:r w:rsidR="00321465">
        <w:t>her a HACCP</w:t>
      </w:r>
      <w:r w:rsidR="00D36004">
        <w:t xml:space="preserve"> </w:t>
      </w:r>
      <w:r w:rsidR="00411702">
        <w:t>system</w:t>
      </w:r>
      <w:r w:rsidR="00321465">
        <w:t xml:space="preserve"> is inadequate or an</w:t>
      </w:r>
      <w:r w:rsidR="009C75E5">
        <w:t xml:space="preserve"> official control </w:t>
      </w:r>
      <w:r w:rsidR="005F3FA7">
        <w:t xml:space="preserve">verification </w:t>
      </w:r>
      <w:r w:rsidR="009C75E5">
        <w:t xml:space="preserve">sample fails to meet </w:t>
      </w:r>
      <w:r w:rsidR="005F3FA7">
        <w:t xml:space="preserve">regulatory </w:t>
      </w:r>
      <w:r w:rsidR="009C75E5">
        <w:t>toxin standards</w:t>
      </w:r>
      <w:r w:rsidR="00321465">
        <w:t xml:space="preserve"> </w:t>
      </w:r>
      <w:r w:rsidR="009C75E5">
        <w:t>t</w:t>
      </w:r>
      <w:r>
        <w:t>hen the requirements of Regulation 27 of The Food Hygiene (Scotland) Regulations 2006</w:t>
      </w:r>
      <w:r w:rsidRPr="007155C5">
        <w:rPr>
          <w:b/>
        </w:rPr>
        <w:t xml:space="preserve"> </w:t>
      </w:r>
      <w:r>
        <w:t xml:space="preserve">Hygiene Regs apply. </w:t>
      </w:r>
      <w:r w:rsidR="009871E4">
        <w:t xml:space="preserve"> </w:t>
      </w:r>
      <w:r w:rsidR="007155C5" w:rsidRPr="007155C5">
        <w:t xml:space="preserve">Steps to remove that product from the market, where evidence suggests it has not been processed in accordance with food safety requirements may be considered in which case LA’s should seek advice from the FSS Scottish Food Crime and Incident Unit at </w:t>
      </w:r>
      <w:hyperlink r:id="rId20" w:history="1">
        <w:r w:rsidR="00A36F5A" w:rsidRPr="007A0DEE">
          <w:rPr>
            <w:rStyle w:val="Hyperlink"/>
          </w:rPr>
          <w:t>incidents@fss.scot</w:t>
        </w:r>
      </w:hyperlink>
      <w:r w:rsidR="00A36F5A">
        <w:t xml:space="preserve"> </w:t>
      </w:r>
      <w:r w:rsidR="007155C5" w:rsidRPr="007155C5">
        <w:t xml:space="preserve">  </w:t>
      </w:r>
    </w:p>
    <w:p w:rsidR="00B962C4" w:rsidRDefault="00A04D11" w:rsidP="00935437">
      <w:pPr>
        <w:pStyle w:val="BomTextInd"/>
        <w:tabs>
          <w:tab w:val="clear" w:pos="1701"/>
          <w:tab w:val="left" w:pos="851"/>
        </w:tabs>
        <w:ind w:left="851" w:hanging="567"/>
      </w:pPr>
      <w:r>
        <w:t xml:space="preserve">The General Food Law provisions of Article 19 require all food businesses to withdraw from the market products that do not comply with food safety </w:t>
      </w:r>
      <w:r>
        <w:lastRenderedPageBreak/>
        <w:t>requirements, therefore where there is evidence that products are not compliant they must be withdrawn.</w:t>
      </w:r>
      <w:r w:rsidR="00A02DAF">
        <w:t xml:space="preserve"> </w:t>
      </w:r>
    </w:p>
    <w:p w:rsidR="00CB3E09" w:rsidRDefault="00A04D11" w:rsidP="00935437">
      <w:pPr>
        <w:pStyle w:val="BomTextInd"/>
        <w:tabs>
          <w:tab w:val="clear" w:pos="1701"/>
          <w:tab w:val="left" w:pos="851"/>
        </w:tabs>
        <w:ind w:left="851" w:hanging="567"/>
      </w:pPr>
      <w:r w:rsidRPr="00B962C4">
        <w:t>Where appropriate</w:t>
      </w:r>
      <w:r w:rsidR="00A02DAF">
        <w:t>,</w:t>
      </w:r>
      <w:r w:rsidRPr="00B962C4">
        <w:t xml:space="preserve"> the issuing of a Food Alert, and RASSF (Rapid Alert System Food and Feed) will be undertaken by </w:t>
      </w:r>
      <w:r w:rsidR="00B962C4">
        <w:t>FSS</w:t>
      </w:r>
      <w:r w:rsidR="00D71DF4" w:rsidRPr="00B962C4">
        <w:t xml:space="preserve"> </w:t>
      </w:r>
      <w:r w:rsidRPr="00B962C4">
        <w:t>in collaboration with the LA and the Food Business</w:t>
      </w:r>
      <w:r w:rsidR="00D60B03">
        <w:t xml:space="preserve"> in order to withdraw non</w:t>
      </w:r>
      <w:r w:rsidR="00E02627">
        <w:t>-</w:t>
      </w:r>
      <w:r w:rsidR="00D60B03">
        <w:t>compl</w:t>
      </w:r>
      <w:r w:rsidR="00A02DAF">
        <w:t>ia</w:t>
      </w:r>
      <w:r w:rsidR="00D60B03">
        <w:t>nt product</w:t>
      </w:r>
    </w:p>
    <w:p w:rsidR="007155C5" w:rsidRDefault="007155C5" w:rsidP="007155C5">
      <w:pPr>
        <w:pStyle w:val="BomTextInd"/>
        <w:tabs>
          <w:tab w:val="clear" w:pos="1701"/>
          <w:tab w:val="left" w:pos="851"/>
        </w:tabs>
        <w:ind w:left="851" w:hanging="567"/>
      </w:pPr>
      <w:r w:rsidRPr="007155C5">
        <w:t xml:space="preserve">Routine official control verification samples should be taken from processors during normal inspection duties whose visit frequency should be determined by risk.  However verification sampling should not be considered a pre-requisite to enforcement action.  </w:t>
      </w:r>
    </w:p>
    <w:p w:rsidR="009C75E5" w:rsidRDefault="007155C5" w:rsidP="007155C5">
      <w:pPr>
        <w:pStyle w:val="BomTextInd"/>
        <w:tabs>
          <w:tab w:val="clear" w:pos="1701"/>
          <w:tab w:val="left" w:pos="851"/>
        </w:tabs>
        <w:ind w:left="851" w:hanging="567"/>
      </w:pPr>
      <w:r>
        <w:t>S</w:t>
      </w:r>
      <w:r w:rsidR="009C75E5" w:rsidRPr="00E149D7">
        <w:t xml:space="preserve">ince specific frequencies of sampling have not been defined in legislation minimum sampling frequencies are suggested in </w:t>
      </w:r>
      <w:r w:rsidR="009C75E5" w:rsidRPr="007155C5">
        <w:rPr>
          <w:b/>
        </w:rPr>
        <w:t>Annex B</w:t>
      </w:r>
      <w:r w:rsidR="009C75E5" w:rsidRPr="00E149D7">
        <w:t xml:space="preserve"> </w:t>
      </w:r>
      <w:r w:rsidR="004D02EF">
        <w:t>as are supporting enforcing actions</w:t>
      </w:r>
      <w:r w:rsidR="009C75E5" w:rsidRPr="00E149D7">
        <w:t xml:space="preserve">. These should be complimentary to the general direction given within the Code. </w:t>
      </w:r>
    </w:p>
    <w:p w:rsidR="009C75E5" w:rsidRDefault="009C75E5" w:rsidP="00A02DAF">
      <w:pPr>
        <w:pStyle w:val="BomTextInd"/>
        <w:tabs>
          <w:tab w:val="clear" w:pos="1701"/>
          <w:tab w:val="left" w:pos="851"/>
        </w:tabs>
        <w:ind w:left="851" w:hanging="567"/>
      </w:pPr>
      <w:r>
        <w:t xml:space="preserve">FSS currently provides funding for additional verification sampling to take place and advises local authorities to following the guidance at </w:t>
      </w:r>
      <w:r w:rsidRPr="00B962C4">
        <w:rPr>
          <w:b/>
        </w:rPr>
        <w:t>Annex C</w:t>
      </w:r>
      <w:r>
        <w:t xml:space="preserve"> in relation to taking samples at approved establishments.</w:t>
      </w:r>
      <w:r w:rsidR="00A02DAF" w:rsidRPr="00A02DAF">
        <w:t xml:space="preserve"> </w:t>
      </w:r>
      <w:r w:rsidR="00A02DAF">
        <w:t xml:space="preserve"> FSS will communicate all results over the Maximum Permitted Level  to industry representatives.</w:t>
      </w:r>
    </w:p>
    <w:p w:rsidR="00AB5090" w:rsidRDefault="00AB5090" w:rsidP="00935437">
      <w:pPr>
        <w:pStyle w:val="BomTextInd"/>
        <w:tabs>
          <w:tab w:val="clear" w:pos="1701"/>
          <w:tab w:val="left" w:pos="851"/>
        </w:tabs>
        <w:ind w:left="851" w:hanging="567"/>
      </w:pPr>
      <w:r w:rsidRPr="000E6D48">
        <w:rPr>
          <w:b/>
        </w:rPr>
        <w:t>Annex D</w:t>
      </w:r>
      <w:r>
        <w:t xml:space="preserve"> outlines the offshore box system which has been used by FSS to identify the areas in which shellfish has been harvested under previous offshore monitoring regimes.  The registration document of the batch concerned should also identify the area where the scallops were fished using this or the National Grid Reference system in order to allow swift communication by FSS to relevant industry bodies of areas where there may be elevated levels of shellfish toxins.</w:t>
      </w:r>
      <w:r w:rsidR="00410515">
        <w:t xml:space="preserve">  </w:t>
      </w:r>
    </w:p>
    <w:p w:rsidR="00B962C4" w:rsidRDefault="00B962C4" w:rsidP="00B962C4">
      <w:pPr>
        <w:pStyle w:val="Heading3"/>
      </w:pPr>
      <w:bookmarkStart w:id="34" w:name="_Toc462655892"/>
      <w:r w:rsidRPr="00B962C4">
        <w:t>Communication and Notification Arrangements for OC Results</w:t>
      </w:r>
      <w:bookmarkEnd w:id="34"/>
    </w:p>
    <w:p w:rsidR="004321C5" w:rsidRPr="004321C5" w:rsidRDefault="004321C5" w:rsidP="004321C5"/>
    <w:p w:rsidR="00B962C4" w:rsidRDefault="00A04D11" w:rsidP="00935437">
      <w:pPr>
        <w:pStyle w:val="BomTextInd"/>
        <w:tabs>
          <w:tab w:val="clear" w:pos="1701"/>
          <w:tab w:val="left" w:pos="851"/>
        </w:tabs>
        <w:ind w:left="851" w:hanging="567"/>
      </w:pPr>
      <w:r>
        <w:t xml:space="preserve">All </w:t>
      </w:r>
      <w:r w:rsidR="00A02DAF">
        <w:t xml:space="preserve">official control </w:t>
      </w:r>
      <w:r>
        <w:t xml:space="preserve">sample results will be made available to </w:t>
      </w:r>
      <w:r w:rsidR="00F52274">
        <w:t>FS</w:t>
      </w:r>
      <w:r w:rsidR="00B962C4">
        <w:t>S</w:t>
      </w:r>
      <w:r>
        <w:t xml:space="preserve"> by the laboratory completing the analysis. These will be immediately made available to the LA who in turn may make these results available to the business where the sample was taken.</w:t>
      </w:r>
    </w:p>
    <w:p w:rsidR="0055648F" w:rsidRPr="0055648F" w:rsidRDefault="00A04D11" w:rsidP="0055648F">
      <w:pPr>
        <w:pStyle w:val="BomTextInd"/>
        <w:tabs>
          <w:tab w:val="clear" w:pos="1701"/>
          <w:tab w:val="left" w:pos="851"/>
        </w:tabs>
        <w:ind w:left="851" w:hanging="567"/>
      </w:pPr>
      <w:r>
        <w:t xml:space="preserve">Every Tuesday the </w:t>
      </w:r>
      <w:r w:rsidR="00F52274">
        <w:t>FS</w:t>
      </w:r>
      <w:r w:rsidR="00B962C4">
        <w:t>S</w:t>
      </w:r>
      <w:r>
        <w:t xml:space="preserve"> will report all </w:t>
      </w:r>
      <w:hyperlink r:id="rId21" w:history="1">
        <w:r w:rsidR="00D71DF4" w:rsidRPr="009871E4">
          <w:rPr>
            <w:rStyle w:val="Hyperlink"/>
          </w:rPr>
          <w:t xml:space="preserve">OC </w:t>
        </w:r>
        <w:r w:rsidRPr="009871E4">
          <w:rPr>
            <w:rStyle w:val="Hyperlink"/>
          </w:rPr>
          <w:t>biotoxin sample results</w:t>
        </w:r>
      </w:hyperlink>
      <w:r>
        <w:t xml:space="preserve">. </w:t>
      </w:r>
      <w:r w:rsidR="009871E4">
        <w:t xml:space="preserve"> </w:t>
      </w:r>
      <w:r>
        <w:t xml:space="preserve">The summary report will be provided to all interested parties and published on the </w:t>
      </w:r>
      <w:r w:rsidRPr="0055648F">
        <w:t>website.</w:t>
      </w:r>
    </w:p>
    <w:p w:rsidR="0055648F" w:rsidRPr="0055648F" w:rsidRDefault="00D36004" w:rsidP="0055648F">
      <w:pPr>
        <w:pStyle w:val="BomTextInd"/>
        <w:tabs>
          <w:tab w:val="clear" w:pos="1701"/>
          <w:tab w:val="left" w:pos="851"/>
        </w:tabs>
        <w:ind w:left="851" w:hanging="567"/>
      </w:pPr>
      <w:r>
        <w:t>Whilst within the same EU legislative framework, t</w:t>
      </w:r>
      <w:r w:rsidR="0055648F" w:rsidRPr="0055648F">
        <w:t>he controls that apply in UK waters with regard to scallops differ from those that apply for example in France and other EU member states.  Unlike the UK, French scallop harvesting areas</w:t>
      </w:r>
      <w:r w:rsidR="00155D91">
        <w:t>,</w:t>
      </w:r>
      <w:r w:rsidR="0055648F" w:rsidRPr="0055648F">
        <w:t xml:space="preserve"> </w:t>
      </w:r>
      <w:r w:rsidR="00155D91">
        <w:t xml:space="preserve">for example, </w:t>
      </w:r>
      <w:r w:rsidR="0055648F" w:rsidRPr="0055648F">
        <w:t xml:space="preserve">are classified and monitored and the French authorities will close areas and prohibit harvesting in their scallop beds.  It is up to food businesses </w:t>
      </w:r>
      <w:r w:rsidR="00F45CB1">
        <w:t xml:space="preserve">in the UK </w:t>
      </w:r>
      <w:r w:rsidR="0055648F" w:rsidRPr="0055648F">
        <w:t>to make sure that they are aware of any statutory conditions</w:t>
      </w:r>
      <w:r w:rsidR="00F45CB1">
        <w:t xml:space="preserve"> and harvesting </w:t>
      </w:r>
      <w:r w:rsidR="00F45CB1">
        <w:lastRenderedPageBreak/>
        <w:t>restrictions</w:t>
      </w:r>
      <w:r w:rsidR="0055648F" w:rsidRPr="0055648F">
        <w:t xml:space="preserve"> that apply in any sea area</w:t>
      </w:r>
      <w:r>
        <w:t xml:space="preserve"> where they intend to operate</w:t>
      </w:r>
      <w:r w:rsidR="0055648F" w:rsidRPr="0055648F">
        <w:t>.  The French authorities provide regular updates via their website as to scallop area closures (</w:t>
      </w:r>
      <w:r w:rsidR="0055648F" w:rsidRPr="00175FBF">
        <w:rPr>
          <w:b/>
        </w:rPr>
        <w:t>Annex F</w:t>
      </w:r>
      <w:r w:rsidR="0055648F" w:rsidRPr="0055648F">
        <w:t>).</w:t>
      </w:r>
    </w:p>
    <w:p w:rsidR="0055648F" w:rsidRPr="00AB70A2" w:rsidRDefault="0055648F" w:rsidP="0055648F">
      <w:pPr>
        <w:pStyle w:val="BomTextInd"/>
        <w:tabs>
          <w:tab w:val="clear" w:pos="1701"/>
          <w:tab w:val="left" w:pos="851"/>
        </w:tabs>
        <w:ind w:left="851" w:hanging="567"/>
      </w:pPr>
      <w:r w:rsidRPr="0055648F">
        <w:rPr>
          <w:b/>
        </w:rPr>
        <w:t xml:space="preserve">Any scallops caught from an area that </w:t>
      </w:r>
      <w:r w:rsidRPr="00761546">
        <w:rPr>
          <w:b/>
          <w:u w:val="single"/>
        </w:rPr>
        <w:t>any</w:t>
      </w:r>
      <w:r w:rsidRPr="00761546">
        <w:rPr>
          <w:b/>
        </w:rPr>
        <w:t xml:space="preserve"> </w:t>
      </w:r>
      <w:r w:rsidRPr="0055648F">
        <w:rPr>
          <w:b/>
        </w:rPr>
        <w:t xml:space="preserve">competent authority has closed </w:t>
      </w:r>
      <w:r w:rsidR="00091FF8">
        <w:rPr>
          <w:b/>
        </w:rPr>
        <w:t>should</w:t>
      </w:r>
      <w:r w:rsidRPr="0055648F">
        <w:rPr>
          <w:b/>
        </w:rPr>
        <w:t xml:space="preserve"> be seized and destroyed on arrival at port under section </w:t>
      </w:r>
      <w:r w:rsidR="000200DA">
        <w:rPr>
          <w:b/>
        </w:rPr>
        <w:t>9 of the Food Safety Act 1990.</w:t>
      </w:r>
      <w:r w:rsidR="00761546">
        <w:rPr>
          <w:b/>
        </w:rPr>
        <w:t xml:space="preserve"> </w:t>
      </w:r>
    </w:p>
    <w:p w:rsidR="0055648F" w:rsidRDefault="00AB70A2" w:rsidP="00AB70A2">
      <w:pPr>
        <w:pStyle w:val="BomTextInd"/>
        <w:tabs>
          <w:tab w:val="clear" w:pos="1701"/>
          <w:tab w:val="left" w:pos="851"/>
        </w:tabs>
        <w:ind w:left="851" w:hanging="567"/>
      </w:pPr>
      <w:r>
        <w:t xml:space="preserve">Harvesters who intend to supply their scallops to countries outside the UK </w:t>
      </w:r>
      <w:r w:rsidRPr="00AB70A2">
        <w:rPr>
          <w:u w:val="single"/>
        </w:rPr>
        <w:t xml:space="preserve">must </w:t>
      </w:r>
      <w:r>
        <w:t xml:space="preserve">ensure that their product is compliant with all relevant requirements of the receiving country prior to sale.  Further details are included in </w:t>
      </w:r>
      <w:r w:rsidRPr="00093884">
        <w:rPr>
          <w:b/>
        </w:rPr>
        <w:t>Annex F</w:t>
      </w:r>
      <w:r>
        <w:t>.</w:t>
      </w:r>
    </w:p>
    <w:p w:rsidR="00470C07" w:rsidRDefault="00470C07" w:rsidP="00470C07">
      <w:pPr>
        <w:pStyle w:val="Heading3"/>
      </w:pPr>
      <w:bookmarkStart w:id="35" w:name="_Toc462655893"/>
      <w:r>
        <w:t>Primary production:  roles</w:t>
      </w:r>
      <w:r w:rsidR="0055648F">
        <w:t xml:space="preserve">, </w:t>
      </w:r>
      <w:r>
        <w:t xml:space="preserve"> responsibilities </w:t>
      </w:r>
      <w:r w:rsidR="0055648F">
        <w:t>and registration documents</w:t>
      </w:r>
      <w:bookmarkEnd w:id="35"/>
    </w:p>
    <w:p w:rsidR="004321C5" w:rsidRPr="004321C5" w:rsidRDefault="004321C5" w:rsidP="004321C5"/>
    <w:p w:rsidR="00175EFA" w:rsidRDefault="004438AE" w:rsidP="00175EFA">
      <w:pPr>
        <w:pStyle w:val="BomTextInd"/>
        <w:tabs>
          <w:tab w:val="clear" w:pos="1701"/>
          <w:tab w:val="left" w:pos="851"/>
        </w:tabs>
        <w:ind w:left="851" w:hanging="567"/>
      </w:pPr>
      <w:r>
        <w:t xml:space="preserve">Everyone in the food supply chain is responsible for ensuring that controls are applied in accordance with </w:t>
      </w:r>
      <w:r w:rsidR="003B5D05">
        <w:t>legal obligations</w:t>
      </w:r>
      <w:r>
        <w:t xml:space="preserve"> and that food safety </w:t>
      </w:r>
      <w:r w:rsidR="003B5D05">
        <w:t>issues are ad</w:t>
      </w:r>
      <w:r w:rsidR="00F45CB1">
        <w:t>d</w:t>
      </w:r>
      <w:r w:rsidR="003B5D05">
        <w:t>ressed</w:t>
      </w:r>
      <w:r>
        <w:t xml:space="preserve">.  </w:t>
      </w:r>
      <w:r w:rsidR="00175EFA">
        <w:t xml:space="preserve">Existing regulations require </w:t>
      </w:r>
      <w:r w:rsidR="00321465">
        <w:t>that:</w:t>
      </w:r>
      <w:r w:rsidR="00175EFA">
        <w:t xml:space="preserve"> </w:t>
      </w:r>
    </w:p>
    <w:p w:rsidR="00175EFA" w:rsidRPr="00091FF8" w:rsidRDefault="00175EFA" w:rsidP="00175EFA">
      <w:pPr>
        <w:pStyle w:val="BomTextInd"/>
        <w:numPr>
          <w:ilvl w:val="0"/>
          <w:numId w:val="0"/>
        </w:numPr>
        <w:tabs>
          <w:tab w:val="clear" w:pos="1701"/>
          <w:tab w:val="left" w:pos="851"/>
        </w:tabs>
        <w:ind w:left="1571"/>
        <w:rPr>
          <w:sz w:val="22"/>
        </w:rPr>
      </w:pPr>
      <w:r w:rsidRPr="00091FF8">
        <w:rPr>
          <w:sz w:val="22"/>
        </w:rPr>
        <w:t xml:space="preserve">“Whenever a food business operator moves a batch of live bivalve molluscs between establishments, up to and including the arrival of the batch at a dispatch centre or processing establishment, a </w:t>
      </w:r>
      <w:r w:rsidRPr="00091FF8">
        <w:rPr>
          <w:b/>
          <w:sz w:val="22"/>
        </w:rPr>
        <w:t>registration document</w:t>
      </w:r>
      <w:r w:rsidRPr="00091FF8">
        <w:rPr>
          <w:sz w:val="22"/>
        </w:rPr>
        <w:t xml:space="preserve"> must accompany the batch”</w:t>
      </w:r>
      <w:r w:rsidRPr="00091FF8">
        <w:rPr>
          <w:rStyle w:val="FootnoteReference"/>
          <w:sz w:val="22"/>
        </w:rPr>
        <w:footnoteReference w:id="5"/>
      </w:r>
      <w:r w:rsidRPr="00091FF8">
        <w:rPr>
          <w:sz w:val="22"/>
        </w:rPr>
        <w:t>.</w:t>
      </w:r>
    </w:p>
    <w:p w:rsidR="00155D91" w:rsidRDefault="00175EFA" w:rsidP="009871E4">
      <w:pPr>
        <w:pStyle w:val="BomTextInd"/>
        <w:tabs>
          <w:tab w:val="clear" w:pos="1701"/>
          <w:tab w:val="left" w:pos="851"/>
        </w:tabs>
        <w:ind w:left="851" w:hanging="567"/>
      </w:pPr>
      <w:r>
        <w:t xml:space="preserve">Primary producers, </w:t>
      </w:r>
      <w:r w:rsidR="008A64C1">
        <w:t>i.e.</w:t>
      </w:r>
      <w:r>
        <w:t xml:space="preserve"> harvesters</w:t>
      </w:r>
      <w:r w:rsidR="0055648F">
        <w:t>,</w:t>
      </w:r>
      <w:r>
        <w:t xml:space="preserve"> must therefore ensure that a registration document is completed and that the risks associated with the harvest area have been assessed</w:t>
      </w:r>
      <w:r w:rsidR="0055648F">
        <w:t xml:space="preserve"> prior to landing a catch</w:t>
      </w:r>
      <w:r>
        <w:t xml:space="preserve">.  The specific information required </w:t>
      </w:r>
      <w:r w:rsidR="00F151BC">
        <w:t xml:space="preserve">by law </w:t>
      </w:r>
      <w:r>
        <w:t xml:space="preserve">in a registration </w:t>
      </w:r>
      <w:r w:rsidR="00F151BC">
        <w:t xml:space="preserve">document </w:t>
      </w:r>
      <w:r>
        <w:t>is outlined below:</w:t>
      </w:r>
      <w:r w:rsidR="00761546">
        <w:t xml:space="preserve"> </w:t>
      </w:r>
    </w:p>
    <w:p w:rsidR="0059681A" w:rsidRDefault="00155D91" w:rsidP="00155D91">
      <w:pPr>
        <w:pStyle w:val="BomTextInd"/>
        <w:numPr>
          <w:ilvl w:val="0"/>
          <w:numId w:val="0"/>
        </w:numPr>
        <w:tabs>
          <w:tab w:val="clear" w:pos="1701"/>
          <w:tab w:val="left" w:pos="851"/>
        </w:tabs>
        <w:ind w:left="851"/>
      </w:pPr>
      <w:r>
        <w:br w:type="page"/>
      </w:r>
    </w:p>
    <w:p w:rsidR="0059681A" w:rsidRDefault="0059681A" w:rsidP="0059681A">
      <w:pPr>
        <w:pStyle w:val="BomTextInd"/>
        <w:tabs>
          <w:tab w:val="clear" w:pos="1701"/>
          <w:tab w:val="clear" w:pos="1843"/>
          <w:tab w:val="left" w:pos="851"/>
        </w:tabs>
        <w:ind w:left="851" w:hanging="567"/>
      </w:pPr>
      <w:r w:rsidRPr="0059681A">
        <w:rPr>
          <w:b/>
        </w:rPr>
        <w:t>Registration document requirement - From EC Regulation 853/2004 Annex II, Section VII, Ch. I Paragraph 4</w:t>
      </w:r>
      <w:r w:rsidRPr="0059681A">
        <w:t xml:space="preserve">. </w:t>
      </w:r>
    </w:p>
    <w:tbl>
      <w:tblPr>
        <w:tblW w:w="996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59681A" w:rsidTr="008A0E80">
        <w:trPr>
          <w:trHeight w:val="5248"/>
        </w:trPr>
        <w:tc>
          <w:tcPr>
            <w:tcW w:w="9960" w:type="dxa"/>
          </w:tcPr>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(a) In the case of a batch of live bivalve molluscs sent from a production area, the registration document must contain at least the following information: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(i) the gatherer's identity and address;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(ii) the date of harvesting;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(iii) the location of the production area described in as precise detail as is practicable or by a code number;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(iv) the health status of the production area; </w:t>
            </w:r>
          </w:p>
          <w:p w:rsidR="0059681A" w:rsidRPr="00175EFA" w:rsidRDefault="00CF39F3" w:rsidP="008A0E80">
            <w:pPr>
              <w:autoSpaceDE w:val="0"/>
              <w:autoSpaceDN w:val="0"/>
              <w:adjustRightInd w:val="0"/>
              <w:spacing w:before="60" w:after="60"/>
              <w:ind w:left="184"/>
              <w:rPr>
                <w:color w:val="000000"/>
              </w:rPr>
            </w:pPr>
            <w:r>
              <w:rPr>
                <w:noProof/>
              </w:rPr>
              <w:pict>
                <v:shapetype id="_x0000_t202" coordsize="21600,21600" o:spt="202" path="m,l,21600r21600,l21600,xe">
                  <v:stroke joinstyle="miter"/>
                  <v:path gradientshapeok="t" o:connecttype="rect"/>
                </v:shapetype>
                <v:shape id="_x0000_s1037" type="#_x0000_t202" style="position:absolute;left:0;text-align:left;margin-left:217.2pt;margin-top:6.15pt;width:191.55pt;height:49.35pt;z-index:25165721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7;mso-fit-shape-to-text:t">
                    <w:txbxContent>
                      <w:p w:rsidR="00E02627" w:rsidRPr="008F639C" w:rsidRDefault="00E02627" w:rsidP="0059681A">
                        <w:pPr>
                          <w:rPr>
                            <w:rFonts w:ascii="Arial" w:hAnsi="Arial" w:cs="Arial"/>
                            <w:b/>
                            <w:sz w:val="24"/>
                          </w:rPr>
                        </w:pPr>
                        <w:r w:rsidRPr="008F639C">
                          <w:rPr>
                            <w:rFonts w:ascii="Arial" w:hAnsi="Arial" w:cs="Arial"/>
                            <w:b/>
                            <w:sz w:val="24"/>
                          </w:rPr>
                          <w:t>From EC Regulation 853/2004 Annex II, Section VII, Ch. I Paragraph 4.</w:t>
                        </w:r>
                      </w:p>
                    </w:txbxContent>
                  </v:textbox>
                </v:shape>
              </w:pict>
            </w:r>
            <w:r w:rsidR="0059681A" w:rsidRPr="00175EFA">
              <w:rPr>
                <w:color w:val="000000"/>
              </w:rPr>
              <w:t xml:space="preserve">(v) the shellfish species and quantity;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and </w:t>
            </w: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(vi) the destination of the batch. </w:t>
            </w:r>
          </w:p>
          <w:p w:rsidR="0059681A" w:rsidRPr="008F639C" w:rsidRDefault="0059681A" w:rsidP="008A0E80">
            <w:pPr>
              <w:autoSpaceDE w:val="0"/>
              <w:autoSpaceDN w:val="0"/>
              <w:adjustRightInd w:val="0"/>
              <w:spacing w:before="60" w:after="60"/>
              <w:ind w:left="184"/>
              <w:rPr>
                <w:color w:val="000000"/>
              </w:rPr>
            </w:pPr>
          </w:p>
          <w:p w:rsidR="0059681A" w:rsidRPr="00175EFA" w:rsidRDefault="0059681A" w:rsidP="008A0E80">
            <w:pPr>
              <w:autoSpaceDE w:val="0"/>
              <w:autoSpaceDN w:val="0"/>
              <w:adjustRightInd w:val="0"/>
              <w:spacing w:before="60" w:after="60"/>
              <w:ind w:left="184"/>
              <w:rPr>
                <w:color w:val="000000"/>
              </w:rPr>
            </w:pPr>
            <w:r w:rsidRPr="00175EFA">
              <w:rPr>
                <w:color w:val="000000"/>
              </w:rPr>
              <w:t xml:space="preserve">5. Food business operators sending batches of live bivalve molluscs must complete the relevant sections of the registration document so that they are easy to read and cannot be altered. Food business operators receiving batches must date-stamp the document on receipt of the batch or record the date of receipt in another manner. </w:t>
            </w:r>
          </w:p>
          <w:p w:rsidR="0059681A" w:rsidRDefault="0059681A" w:rsidP="008A0E80">
            <w:pPr>
              <w:autoSpaceDE w:val="0"/>
              <w:autoSpaceDN w:val="0"/>
              <w:adjustRightInd w:val="0"/>
              <w:spacing w:before="60" w:after="60"/>
              <w:ind w:left="184"/>
              <w:rPr>
                <w:color w:val="000000"/>
                <w:sz w:val="17"/>
                <w:szCs w:val="17"/>
              </w:rPr>
            </w:pPr>
            <w:r w:rsidRPr="00175EFA">
              <w:rPr>
                <w:color w:val="000000"/>
              </w:rPr>
              <w:t xml:space="preserve">6. Food business operators must keep a copy of the registration document relating to each batch sent and received for at least twelve months after its dispatch or receipt (or such longer period as the competent authority may specify). </w:t>
            </w:r>
          </w:p>
        </w:tc>
      </w:tr>
    </w:tbl>
    <w:p w:rsidR="0065247A" w:rsidRPr="0065247A" w:rsidRDefault="0065247A" w:rsidP="004321C5">
      <w:pPr>
        <w:rPr>
          <w:szCs w:val="24"/>
        </w:rPr>
      </w:pPr>
    </w:p>
    <w:p w:rsidR="0065247A" w:rsidRPr="0065247A" w:rsidRDefault="0065247A" w:rsidP="0065247A">
      <w:pPr>
        <w:pStyle w:val="BomTextInd"/>
        <w:tabs>
          <w:tab w:val="clear" w:pos="1701"/>
          <w:tab w:val="left" w:pos="851"/>
        </w:tabs>
        <w:ind w:left="851" w:hanging="567"/>
        <w:rPr>
          <w:szCs w:val="24"/>
        </w:rPr>
      </w:pPr>
      <w:r>
        <w:rPr>
          <w:szCs w:val="24"/>
        </w:rPr>
        <w:t xml:space="preserve">As </w:t>
      </w:r>
      <w:r w:rsidR="00AB70A2">
        <w:rPr>
          <w:szCs w:val="24"/>
        </w:rPr>
        <w:t xml:space="preserve">offshore </w:t>
      </w:r>
      <w:r w:rsidR="00BD73D6">
        <w:rPr>
          <w:szCs w:val="24"/>
        </w:rPr>
        <w:t xml:space="preserve">harvesting </w:t>
      </w:r>
      <w:r w:rsidR="00AB70A2">
        <w:rPr>
          <w:szCs w:val="24"/>
        </w:rPr>
        <w:t xml:space="preserve">areas are not monitored in the UK, </w:t>
      </w:r>
      <w:r w:rsidR="004D4A8C">
        <w:rPr>
          <w:szCs w:val="24"/>
        </w:rPr>
        <w:t xml:space="preserve">an </w:t>
      </w:r>
      <w:r w:rsidR="00AB70A2">
        <w:rPr>
          <w:szCs w:val="24"/>
        </w:rPr>
        <w:t xml:space="preserve">attestation </w:t>
      </w:r>
      <w:r w:rsidR="003E0C54">
        <w:rPr>
          <w:szCs w:val="24"/>
        </w:rPr>
        <w:t xml:space="preserve">(based on official control sampling) </w:t>
      </w:r>
      <w:r w:rsidR="00AB70A2">
        <w:rPr>
          <w:szCs w:val="24"/>
        </w:rPr>
        <w:t xml:space="preserve">by the harvester on the ‘health status of the production area’ will not </w:t>
      </w:r>
      <w:r w:rsidR="003E0C54">
        <w:rPr>
          <w:szCs w:val="24"/>
        </w:rPr>
        <w:t>normally</w:t>
      </w:r>
      <w:r w:rsidR="00AB70A2">
        <w:rPr>
          <w:szCs w:val="24"/>
        </w:rPr>
        <w:t xml:space="preserve"> be possible</w:t>
      </w:r>
      <w:r w:rsidR="003E0C54">
        <w:rPr>
          <w:szCs w:val="24"/>
        </w:rPr>
        <w:t>.</w:t>
      </w:r>
      <w:r w:rsidR="00AB70A2">
        <w:rPr>
          <w:szCs w:val="24"/>
        </w:rPr>
        <w:t xml:space="preserve">  </w:t>
      </w:r>
      <w:r>
        <w:rPr>
          <w:szCs w:val="24"/>
        </w:rPr>
        <w:t>Nevertheless, t</w:t>
      </w:r>
      <w:r w:rsidRPr="0065247A">
        <w:rPr>
          <w:szCs w:val="24"/>
        </w:rPr>
        <w:t>here is a requirement for harvesters to record the health status of the area fished, based on a requirement to ensure that fishing does not take place in an area which may be subject to fishing restrictions</w:t>
      </w:r>
      <w:r>
        <w:rPr>
          <w:szCs w:val="24"/>
        </w:rPr>
        <w:t>.  H</w:t>
      </w:r>
      <w:r w:rsidR="00AB70A2">
        <w:rPr>
          <w:szCs w:val="24"/>
        </w:rPr>
        <w:t xml:space="preserve">istorical evidence from UK and French </w:t>
      </w:r>
      <w:r w:rsidR="004D4A8C">
        <w:rPr>
          <w:szCs w:val="24"/>
        </w:rPr>
        <w:t>waters indicates that there is a significant risk of toxin contamination of whole scallops particularly during the summer months, and in the absence of definitive test results from harvesters this risk should be communicated to recipients of the registration document.</w:t>
      </w:r>
      <w:r w:rsidR="003E0C54">
        <w:rPr>
          <w:szCs w:val="24"/>
        </w:rPr>
        <w:t xml:space="preserve">  It is imperative that receiving establishments understand the risks associated with the product received and that they are aware that the scallops have not been subject to any official control testing at that point.</w:t>
      </w:r>
      <w:r>
        <w:rPr>
          <w:szCs w:val="24"/>
        </w:rPr>
        <w:t xml:space="preserve">  </w:t>
      </w:r>
    </w:p>
    <w:p w:rsidR="00F07A4E" w:rsidRPr="00BC7AD7" w:rsidRDefault="00480F87" w:rsidP="00F07A4E">
      <w:pPr>
        <w:pStyle w:val="BomTextInd"/>
        <w:tabs>
          <w:tab w:val="clear" w:pos="1701"/>
          <w:tab w:val="left" w:pos="851"/>
        </w:tabs>
        <w:ind w:left="851" w:hanging="567"/>
        <w:rPr>
          <w:szCs w:val="24"/>
        </w:rPr>
      </w:pPr>
      <w:r>
        <w:t xml:space="preserve">Local Authorities will issue registration documents to producers on request in accordance </w:t>
      </w:r>
      <w:r w:rsidR="00155D91">
        <w:t>with</w:t>
      </w:r>
      <w:r>
        <w:t xml:space="preserve"> agreed copy control protocols.  </w:t>
      </w:r>
      <w:r w:rsidR="008F639C">
        <w:t>The registration document requirement applies to scallops</w:t>
      </w:r>
      <w:r>
        <w:t xml:space="preserve"> </w:t>
      </w:r>
      <w:r w:rsidR="00F151BC">
        <w:t xml:space="preserve">as well as to other bivalves </w:t>
      </w:r>
      <w:r>
        <w:t xml:space="preserve">and </w:t>
      </w:r>
      <w:r w:rsidR="00AE5BDE" w:rsidRPr="00AE5BDE">
        <w:rPr>
          <w:b/>
          <w:szCs w:val="24"/>
        </w:rPr>
        <w:t>a</w:t>
      </w:r>
      <w:r w:rsidR="00F07A4E" w:rsidRPr="00AE5BDE">
        <w:rPr>
          <w:b/>
          <w:bCs/>
          <w:szCs w:val="24"/>
        </w:rPr>
        <w:t xml:space="preserve">ny live shellfish which is </w:t>
      </w:r>
      <w:r w:rsidR="00F07A4E" w:rsidRPr="00AE5BDE">
        <w:rPr>
          <w:b/>
          <w:bCs/>
          <w:szCs w:val="24"/>
          <w:u w:val="single"/>
        </w:rPr>
        <w:t xml:space="preserve">not accompanied </w:t>
      </w:r>
      <w:r w:rsidR="00F07A4E" w:rsidRPr="00AE5BDE">
        <w:rPr>
          <w:b/>
          <w:bCs/>
          <w:szCs w:val="24"/>
        </w:rPr>
        <w:t xml:space="preserve">by a registration document (or has not been appropriately labelled with an approval number) can be regarded as not complying with food law and can be </w:t>
      </w:r>
      <w:r w:rsidR="00F07A4E" w:rsidRPr="00AE5BDE">
        <w:rPr>
          <w:b/>
          <w:bCs/>
          <w:szCs w:val="24"/>
          <w:u w:val="single"/>
        </w:rPr>
        <w:t>seized</w:t>
      </w:r>
      <w:r w:rsidR="00F07A4E" w:rsidRPr="00091FF8">
        <w:rPr>
          <w:b/>
          <w:bCs/>
          <w:szCs w:val="24"/>
        </w:rPr>
        <w:t xml:space="preserve"> </w:t>
      </w:r>
      <w:r w:rsidR="00F07A4E" w:rsidRPr="00AE5BDE">
        <w:rPr>
          <w:b/>
          <w:bCs/>
          <w:szCs w:val="24"/>
        </w:rPr>
        <w:t xml:space="preserve">by any Food Authority in </w:t>
      </w:r>
      <w:r w:rsidR="00F07A4E" w:rsidRPr="00BC7AD7">
        <w:rPr>
          <w:b/>
          <w:bCs/>
          <w:szCs w:val="24"/>
        </w:rPr>
        <w:t>Europe.</w:t>
      </w:r>
    </w:p>
    <w:p w:rsidR="00A44B73" w:rsidRPr="00BC7AD7" w:rsidRDefault="0048513A" w:rsidP="00A44B73">
      <w:pPr>
        <w:pStyle w:val="BomTextInd"/>
        <w:tabs>
          <w:tab w:val="clear" w:pos="1701"/>
          <w:tab w:val="left" w:pos="851"/>
        </w:tabs>
        <w:ind w:left="851" w:hanging="567"/>
        <w:rPr>
          <w:szCs w:val="24"/>
        </w:rPr>
      </w:pPr>
      <w:r w:rsidRPr="00BC7AD7">
        <w:rPr>
          <w:rFonts w:cs="Arial"/>
          <w:color w:val="000000"/>
          <w:szCs w:val="24"/>
        </w:rPr>
        <w:lastRenderedPageBreak/>
        <w:t xml:space="preserve">Food Law Practice Guidance advises that </w:t>
      </w:r>
      <w:r w:rsidR="00684337" w:rsidRPr="00BC7AD7">
        <w:rPr>
          <w:rFonts w:cs="Arial"/>
          <w:color w:val="000000"/>
          <w:szCs w:val="24"/>
        </w:rPr>
        <w:t xml:space="preserve">authorities should familiarise themselves with the commercial activities within ports in their local area and implement some degree of monitoring of landings of </w:t>
      </w:r>
      <w:r w:rsidR="00BC7AD7">
        <w:rPr>
          <w:rFonts w:cs="Arial"/>
          <w:color w:val="000000"/>
          <w:szCs w:val="24"/>
        </w:rPr>
        <w:t xml:space="preserve">scallops.  </w:t>
      </w:r>
      <w:r w:rsidR="00684337" w:rsidRPr="00BC7AD7">
        <w:rPr>
          <w:rFonts w:cs="Arial"/>
          <w:color w:val="000000"/>
          <w:szCs w:val="24"/>
        </w:rPr>
        <w:t xml:space="preserve">This can be achieved through effective and periodic liaison with other statutory inspectorates e.g. Marine </w:t>
      </w:r>
      <w:r w:rsidR="00684337" w:rsidRPr="00155D91">
        <w:rPr>
          <w:color w:val="000000"/>
        </w:rPr>
        <w:t>Scotland</w:t>
      </w:r>
      <w:r w:rsidR="0059681A" w:rsidRPr="00155D91">
        <w:rPr>
          <w:color w:val="000000"/>
        </w:rPr>
        <w:t xml:space="preserve"> and</w:t>
      </w:r>
      <w:r w:rsidR="00684337" w:rsidRPr="00155D91">
        <w:rPr>
          <w:color w:val="000000"/>
        </w:rPr>
        <w:t xml:space="preserve"> </w:t>
      </w:r>
      <w:r w:rsidR="003B5D05" w:rsidRPr="00155D91">
        <w:rPr>
          <w:color w:val="000000"/>
        </w:rPr>
        <w:t>Regional Inshore Fishery Groups</w:t>
      </w:r>
      <w:r w:rsidR="003B5D05" w:rsidRPr="00F046EE">
        <w:rPr>
          <w:rStyle w:val="FootnoteReference"/>
          <w:rFonts w:cs="Arial"/>
          <w:color w:val="000000"/>
          <w:szCs w:val="24"/>
        </w:rPr>
        <w:footnoteReference w:id="6"/>
      </w:r>
      <w:r w:rsidR="0059681A" w:rsidRPr="00F046EE">
        <w:rPr>
          <w:rFonts w:cs="Arial"/>
          <w:color w:val="000000"/>
          <w:szCs w:val="24"/>
        </w:rPr>
        <w:t>.</w:t>
      </w:r>
    </w:p>
    <w:p w:rsidR="00047AC9" w:rsidRPr="00047AC9" w:rsidRDefault="00684337" w:rsidP="00BC7AD7">
      <w:pPr>
        <w:pStyle w:val="BomTextInd"/>
        <w:tabs>
          <w:tab w:val="clear" w:pos="1701"/>
          <w:tab w:val="left" w:pos="851"/>
        </w:tabs>
        <w:ind w:left="851" w:hanging="567"/>
        <w:rPr>
          <w:szCs w:val="24"/>
        </w:rPr>
      </w:pPr>
      <w:r w:rsidRPr="00BC7AD7">
        <w:rPr>
          <w:rFonts w:cs="Arial"/>
          <w:color w:val="000000"/>
          <w:szCs w:val="24"/>
        </w:rPr>
        <w:t xml:space="preserve">Food authorities responsible for establishments receiving batches of LBMs from outside their local area are encouraged to contact the issuing food authority when inspecting registration documents. </w:t>
      </w:r>
      <w:r w:rsidR="003E0C54">
        <w:rPr>
          <w:rFonts w:cs="Arial"/>
          <w:color w:val="000000"/>
          <w:szCs w:val="24"/>
        </w:rPr>
        <w:t xml:space="preserve"> </w:t>
      </w:r>
      <w:r w:rsidRPr="00BC7AD7">
        <w:rPr>
          <w:rFonts w:cs="Arial"/>
          <w:color w:val="000000"/>
          <w:szCs w:val="24"/>
        </w:rPr>
        <w:t xml:space="preserve">In order to ensure efficiency in this verification process, food authorities are advised to keep a log of all registration documents that have been issued by them for at least one year, including details of the harvesters to whom they have been issued and the production areas which the harvester requires the registration documents for. </w:t>
      </w:r>
      <w:r w:rsidR="00A44B73" w:rsidRPr="00BC7AD7">
        <w:rPr>
          <w:rFonts w:cs="Arial"/>
          <w:color w:val="000000"/>
          <w:szCs w:val="24"/>
        </w:rPr>
        <w:t xml:space="preserve">  </w:t>
      </w:r>
    </w:p>
    <w:p w:rsidR="00410515" w:rsidRDefault="0059681A" w:rsidP="00093884">
      <w:pPr>
        <w:pStyle w:val="BomTextInd"/>
        <w:tabs>
          <w:tab w:val="clear" w:pos="1701"/>
          <w:tab w:val="left" w:pos="851"/>
        </w:tabs>
        <w:ind w:left="851" w:hanging="567"/>
      </w:pPr>
      <w:r>
        <w:t>Food Business Operators must keep a copy of the registration document relating to each batch sent and received for at least 12 months after its dispatch or receipt (or such longer period as the competent authority may specify).</w:t>
      </w:r>
      <w:r>
        <w:rPr>
          <w:rStyle w:val="FootnoteReference"/>
        </w:rPr>
        <w:footnoteReference w:id="7"/>
      </w:r>
    </w:p>
    <w:p w:rsidR="00410515" w:rsidRDefault="00410515" w:rsidP="00093884">
      <w:pPr>
        <w:pStyle w:val="BomTextInd"/>
        <w:tabs>
          <w:tab w:val="clear" w:pos="1701"/>
          <w:tab w:val="left" w:pos="851"/>
        </w:tabs>
        <w:ind w:left="851" w:hanging="567"/>
      </w:pPr>
      <w:r>
        <w:t xml:space="preserve">Clearly in order to deliver robust official controls for the scallop sector more generally, EC Regulation </w:t>
      </w:r>
      <w:hyperlink r:id="rId22" w:history="1">
        <w:r w:rsidRPr="00410515">
          <w:rPr>
            <w:rStyle w:val="Hyperlink"/>
          </w:rPr>
          <w:t>882/2004</w:t>
        </w:r>
      </w:hyperlink>
      <w:r>
        <w:t xml:space="preserve"> (the ‘official controls’ regulation) sets out an explicit requirement for competent authorities as follows:</w:t>
      </w:r>
    </w:p>
    <w:p w:rsidR="00410515" w:rsidRDefault="00410515" w:rsidP="00093884">
      <w:pPr>
        <w:pStyle w:val="BomTextInd"/>
        <w:numPr>
          <w:ilvl w:val="0"/>
          <w:numId w:val="0"/>
        </w:numPr>
        <w:tabs>
          <w:tab w:val="clear" w:pos="1701"/>
          <w:tab w:val="left" w:pos="851"/>
        </w:tabs>
        <w:ind w:left="851"/>
      </w:pPr>
      <w:r>
        <w:t>“Article 6 - Staff performing official controls</w:t>
      </w:r>
    </w:p>
    <w:p w:rsidR="00410515" w:rsidRDefault="00410515" w:rsidP="00093884">
      <w:pPr>
        <w:pStyle w:val="BomTextInd"/>
        <w:numPr>
          <w:ilvl w:val="0"/>
          <w:numId w:val="0"/>
        </w:numPr>
        <w:tabs>
          <w:tab w:val="clear" w:pos="1701"/>
          <w:tab w:val="left" w:pos="851"/>
        </w:tabs>
        <w:ind w:left="851"/>
      </w:pPr>
      <w:r>
        <w:t>The competent authority shall ensure that all of its staff performing official controls …receive, for their area of competence, appropriate training enabling them to undertake their duties competently and to carry out official controls in a consistent manner.”</w:t>
      </w:r>
    </w:p>
    <w:p w:rsidR="00410515" w:rsidRDefault="00F3532E" w:rsidP="00093884">
      <w:pPr>
        <w:pStyle w:val="BomTextInd"/>
        <w:tabs>
          <w:tab w:val="clear" w:pos="1701"/>
          <w:tab w:val="left" w:pos="851"/>
        </w:tabs>
        <w:ind w:left="851" w:hanging="567"/>
      </w:pPr>
      <w:r>
        <w:t>FSS will therefore continue to work with authorities in order to ensure the relevant skills and training is in place in order to ensure appropriate oversight of this sector.</w:t>
      </w:r>
    </w:p>
    <w:p w:rsidR="00796DA0" w:rsidRDefault="00796DA0" w:rsidP="00752E82">
      <w:pPr>
        <w:pStyle w:val="FSAGuidanceHeading2"/>
      </w:pPr>
      <w:r>
        <w:br w:type="page"/>
      </w:r>
      <w:bookmarkStart w:id="36" w:name="_Toc462655894"/>
      <w:r>
        <w:lastRenderedPageBreak/>
        <w:t xml:space="preserve">SECTION </w:t>
      </w:r>
      <w:r w:rsidR="009C75E5">
        <w:t>3</w:t>
      </w:r>
      <w:r>
        <w:t xml:space="preserve">  CONTROLS REGARDING T</w:t>
      </w:r>
      <w:r w:rsidRPr="008572B0">
        <w:t>he direct supply, by the producer, of small quantities of primary products to the final consumer or to local retail establishments direct</w:t>
      </w:r>
      <w:r>
        <w:t>ly supplying the final consumer</w:t>
      </w:r>
      <w:r>
        <w:rPr>
          <w:rStyle w:val="FootnoteReference"/>
        </w:rPr>
        <w:footnoteReference w:id="8"/>
      </w:r>
      <w:bookmarkEnd w:id="36"/>
    </w:p>
    <w:p w:rsidR="00796DA0" w:rsidRPr="00093884" w:rsidRDefault="00796DA0" w:rsidP="00796DA0">
      <w:pPr>
        <w:pStyle w:val="BomTextInd"/>
        <w:tabs>
          <w:tab w:val="clear" w:pos="1701"/>
          <w:tab w:val="left" w:pos="851"/>
        </w:tabs>
        <w:ind w:left="851" w:hanging="567"/>
        <w:rPr>
          <w:u w:val="single"/>
        </w:rPr>
      </w:pPr>
      <w:r w:rsidRPr="00321465">
        <w:t xml:space="preserve">In </w:t>
      </w:r>
      <w:r w:rsidRPr="00796DA0">
        <w:rPr>
          <w:rFonts w:eastAsia="Calibri"/>
        </w:rPr>
        <w:t xml:space="preserve">EU food hygiene legislation there is an exemption from compliance with the detailed specified provisions of the Community law for food businesses solely involved in the direct supply of small quantities of primary products of animal origin to the final consumer or to local retail establishments directly supplying the final consumer.  However, </w:t>
      </w:r>
      <w:r w:rsidRPr="00AE3CBC">
        <w:t>EC regulation 853/2004</w:t>
      </w:r>
      <w:r w:rsidRPr="00796DA0">
        <w:rPr>
          <w:rFonts w:eastAsia="Calibri"/>
        </w:rPr>
        <w:t xml:space="preserve"> states that ‘Member States shall establish, according to national law, rules governing such exempt activities  and that such national rules ‘shall ensure the achievement of the objectives of this regulation’</w:t>
      </w:r>
    </w:p>
    <w:p w:rsidR="00796DA0" w:rsidRPr="009458AD" w:rsidRDefault="00796DA0" w:rsidP="00796DA0">
      <w:pPr>
        <w:pStyle w:val="BomTextInd"/>
        <w:tabs>
          <w:tab w:val="clear" w:pos="1701"/>
          <w:tab w:val="left" w:pos="851"/>
        </w:tabs>
        <w:ind w:left="851" w:hanging="567"/>
        <w:rPr>
          <w:u w:val="single"/>
        </w:rPr>
      </w:pPr>
      <w:r>
        <w:t xml:space="preserve">It is the view of FSS that whole scallops </w:t>
      </w:r>
      <w:r w:rsidRPr="009458AD">
        <w:rPr>
          <w:u w:val="single"/>
        </w:rPr>
        <w:t>should not be sold under the local market exemption unless</w:t>
      </w:r>
      <w:r>
        <w:rPr>
          <w:u w:val="single"/>
        </w:rPr>
        <w:t xml:space="preserve"> the primary producer either tests each batch in order to ensure compliance with food safety criteria, or – for king scallops - puts in place other measures</w:t>
      </w:r>
      <w:r w:rsidR="00155D91">
        <w:rPr>
          <w:u w:val="single"/>
        </w:rPr>
        <w:t>, as outlined in this document,</w:t>
      </w:r>
      <w:r>
        <w:rPr>
          <w:u w:val="single"/>
        </w:rPr>
        <w:t xml:space="preserve"> that will ensure compliance prior to sale to the final consumer.</w:t>
      </w:r>
    </w:p>
    <w:p w:rsidR="00796DA0" w:rsidRPr="009871E4" w:rsidRDefault="00796DA0" w:rsidP="00796DA0">
      <w:pPr>
        <w:pStyle w:val="BomTextInd"/>
        <w:tabs>
          <w:tab w:val="clear" w:pos="1701"/>
          <w:tab w:val="left" w:pos="851"/>
        </w:tabs>
        <w:ind w:left="851" w:hanging="567"/>
        <w:rPr>
          <w:b/>
        </w:rPr>
      </w:pPr>
      <w:r>
        <w:rPr>
          <w:b/>
        </w:rPr>
        <w:t xml:space="preserve">Annex G </w:t>
      </w:r>
      <w:r w:rsidRPr="006925E6">
        <w:t>provi</w:t>
      </w:r>
      <w:r>
        <w:t>des guidance on how primary producers can meet their obligations to provide safe food under the primary production exemption.</w:t>
      </w:r>
    </w:p>
    <w:p w:rsidR="00796DA0" w:rsidRDefault="00796DA0" w:rsidP="00321465">
      <w:pPr>
        <w:pStyle w:val="BomTextInd"/>
        <w:numPr>
          <w:ilvl w:val="0"/>
          <w:numId w:val="0"/>
        </w:numPr>
        <w:tabs>
          <w:tab w:val="clear" w:pos="1701"/>
          <w:tab w:val="left" w:pos="851"/>
        </w:tabs>
        <w:ind w:left="851"/>
      </w:pPr>
    </w:p>
    <w:p w:rsidR="00AB5090" w:rsidRDefault="00AB5090" w:rsidP="00AB5090">
      <w:pPr>
        <w:pStyle w:val="BomTextInd"/>
        <w:numPr>
          <w:ilvl w:val="0"/>
          <w:numId w:val="0"/>
        </w:numPr>
        <w:ind w:left="851"/>
      </w:pPr>
    </w:p>
    <w:p w:rsidR="009535A1" w:rsidRDefault="009535A1" w:rsidP="009535A1">
      <w:pPr>
        <w:pStyle w:val="Header"/>
        <w:tabs>
          <w:tab w:val="clear" w:pos="4153"/>
          <w:tab w:val="clear" w:pos="8306"/>
        </w:tabs>
        <w:jc w:val="both"/>
        <w:rPr>
          <w:rFonts w:ascii="Arial" w:hAnsi="Arial" w:cs="Arial"/>
          <w:sz w:val="22"/>
          <w:szCs w:val="22"/>
        </w:rPr>
      </w:pPr>
    </w:p>
    <w:p w:rsidR="00AB5090" w:rsidRDefault="00AB5090" w:rsidP="009535A1">
      <w:pPr>
        <w:pStyle w:val="Header"/>
        <w:tabs>
          <w:tab w:val="clear" w:pos="4153"/>
          <w:tab w:val="clear" w:pos="8306"/>
        </w:tabs>
        <w:jc w:val="both"/>
        <w:rPr>
          <w:rFonts w:ascii="Arial" w:hAnsi="Arial" w:cs="Arial"/>
          <w:sz w:val="22"/>
          <w:szCs w:val="22"/>
        </w:rPr>
        <w:sectPr w:rsidR="00AB5090" w:rsidSect="009535A1">
          <w:headerReference w:type="even" r:id="rId23"/>
          <w:headerReference w:type="default" r:id="rId24"/>
          <w:footerReference w:type="default" r:id="rId25"/>
          <w:headerReference w:type="first" r:id="rId26"/>
          <w:type w:val="continuous"/>
          <w:pgSz w:w="11920" w:h="16840"/>
          <w:pgMar w:top="1418" w:right="1123" w:bottom="1162" w:left="1219" w:header="720" w:footer="720" w:gutter="0"/>
          <w:cols w:space="720"/>
          <w:noEndnote/>
        </w:sectPr>
      </w:pPr>
    </w:p>
    <w:p w:rsidR="00147A39" w:rsidRPr="00FB688F" w:rsidRDefault="00147A39" w:rsidP="00D87C21">
      <w:pPr>
        <w:pStyle w:val="Heading3"/>
      </w:pPr>
      <w:bookmarkStart w:id="38" w:name="_Toc462655895"/>
      <w:r w:rsidRPr="00FB688F">
        <w:lastRenderedPageBreak/>
        <w:t xml:space="preserve">ANNEX A – examples </w:t>
      </w:r>
      <w:r w:rsidR="00FB688F">
        <w:t>prepared scallops following good/bad shucking</w:t>
      </w:r>
      <w:bookmarkEnd w:id="38"/>
    </w:p>
    <w:p w:rsidR="00147A39" w:rsidRDefault="00F55F9B">
      <w:pPr>
        <w:rPr>
          <w:rFonts w:ascii="Arial" w:hAnsi="Arial"/>
          <w:b/>
          <w:sz w:val="22"/>
        </w:rPr>
      </w:pPr>
      <w:r>
        <w:rPr>
          <w:rFonts w:ascii="Arial" w:hAnsi="Arial"/>
          <w:b/>
          <w:sz w:val="22"/>
        </w:rPr>
        <w:pict w14:anchorId="3D4AE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21pt;mso-position-horizontal-relative:char;mso-position-vertical-relative:line">
            <v:imagedata r:id="rId27" o:title=""/>
          </v:shape>
        </w:pict>
      </w:r>
    </w:p>
    <w:p w:rsidR="001C48A1" w:rsidRDefault="001C48A1">
      <w:pPr>
        <w:rPr>
          <w:rFonts w:ascii="Arial" w:hAnsi="Arial"/>
          <w:b/>
          <w:sz w:val="22"/>
        </w:rPr>
      </w:pPr>
    </w:p>
    <w:p w:rsidR="001C48A1" w:rsidRDefault="00F55F9B">
      <w:pPr>
        <w:rPr>
          <w:rFonts w:ascii="Arial" w:hAnsi="Arial"/>
          <w:b/>
          <w:sz w:val="22"/>
        </w:rPr>
      </w:pPr>
      <w:r>
        <w:rPr>
          <w:rFonts w:ascii="Arial" w:hAnsi="Arial"/>
          <w:b/>
          <w:sz w:val="22"/>
        </w:rPr>
        <w:pict w14:anchorId="6C1FA924">
          <v:shape id="_x0000_i1026" type="#_x0000_t75" style="width:5in;height:270pt;mso-position-horizontal-relative:char;mso-position-vertical-relative:line">
            <v:imagedata r:id="rId28" o:title=""/>
          </v:shape>
        </w:pict>
      </w:r>
    </w:p>
    <w:p w:rsidR="001C48A1" w:rsidRDefault="001C48A1">
      <w:pPr>
        <w:rPr>
          <w:rFonts w:ascii="Arial" w:hAnsi="Arial"/>
          <w:b/>
          <w:sz w:val="22"/>
        </w:rPr>
      </w:pPr>
    </w:p>
    <w:p w:rsidR="001C48A1" w:rsidRDefault="001C48A1" w:rsidP="00D87C21">
      <w:pPr>
        <w:pStyle w:val="Heading3"/>
      </w:pPr>
      <w:r>
        <w:br w:type="page"/>
      </w:r>
      <w:bookmarkStart w:id="39" w:name="_Toc462655896"/>
      <w:r>
        <w:lastRenderedPageBreak/>
        <w:t>A</w:t>
      </w:r>
      <w:r w:rsidR="003123A5">
        <w:t xml:space="preserve">NNEX </w:t>
      </w:r>
      <w:r>
        <w:t xml:space="preserve">B  Frequency of official control sampling in relation to </w:t>
      </w:r>
      <w:proofErr w:type="spellStart"/>
      <w:r>
        <w:t>pecinidae</w:t>
      </w:r>
      <w:proofErr w:type="spellEnd"/>
      <w:r w:rsidR="000E6D48">
        <w:t xml:space="preserve"> and enforcement action</w:t>
      </w:r>
      <w:bookmarkEnd w:id="39"/>
    </w:p>
    <w:p w:rsidR="00321465" w:rsidRPr="00321465" w:rsidRDefault="00321465" w:rsidP="00321465"/>
    <w:p w:rsidR="001C48A1" w:rsidRPr="00550590" w:rsidRDefault="00F3532E" w:rsidP="00A834CD">
      <w:pPr>
        <w:jc w:val="both"/>
        <w:rPr>
          <w:rFonts w:ascii="Arial" w:hAnsi="Arial"/>
          <w:sz w:val="22"/>
          <w:szCs w:val="22"/>
        </w:rPr>
      </w:pPr>
      <w:r w:rsidRPr="00550590">
        <w:rPr>
          <w:rFonts w:ascii="Arial" w:hAnsi="Arial"/>
          <w:sz w:val="22"/>
          <w:szCs w:val="22"/>
        </w:rPr>
        <w:t xml:space="preserve">The controls outlined in this section should be delivered by personnel who are </w:t>
      </w:r>
      <w:r w:rsidR="00DE0E1F" w:rsidRPr="00550590">
        <w:rPr>
          <w:rFonts w:ascii="Arial" w:hAnsi="Arial"/>
          <w:sz w:val="22"/>
          <w:szCs w:val="22"/>
        </w:rPr>
        <w:t>adequately</w:t>
      </w:r>
      <w:r w:rsidRPr="00550590">
        <w:rPr>
          <w:rFonts w:ascii="Arial" w:hAnsi="Arial"/>
          <w:sz w:val="22"/>
          <w:szCs w:val="22"/>
        </w:rPr>
        <w:t xml:space="preserve"> trained and who understand the inherent risks associated with this product.  This requirement is outlined in Article 6 of EC Regulation 882/2004.</w:t>
      </w:r>
    </w:p>
    <w:p w:rsidR="00DE0E1F" w:rsidRPr="00550590" w:rsidRDefault="00DE0E1F" w:rsidP="00A834CD">
      <w:pPr>
        <w:jc w:val="both"/>
        <w:rPr>
          <w:rFonts w:ascii="Arial" w:hAnsi="Arial"/>
          <w:sz w:val="22"/>
          <w:szCs w:val="22"/>
        </w:rPr>
      </w:pPr>
    </w:p>
    <w:p w:rsidR="00DE0E1F" w:rsidRPr="00550590" w:rsidRDefault="00DE0E1F" w:rsidP="00A834CD">
      <w:pPr>
        <w:jc w:val="both"/>
        <w:rPr>
          <w:rFonts w:ascii="Arial" w:hAnsi="Arial"/>
          <w:sz w:val="22"/>
          <w:szCs w:val="22"/>
        </w:rPr>
      </w:pPr>
      <w:r w:rsidRPr="00550590">
        <w:rPr>
          <w:rFonts w:ascii="Arial" w:hAnsi="Arial"/>
          <w:sz w:val="22"/>
          <w:szCs w:val="22"/>
        </w:rPr>
        <w:t>Businesses shoul</w:t>
      </w:r>
      <w:r w:rsidR="00155D91">
        <w:rPr>
          <w:rFonts w:ascii="Arial" w:hAnsi="Arial"/>
          <w:sz w:val="22"/>
          <w:szCs w:val="22"/>
        </w:rPr>
        <w:t xml:space="preserve">d not be approved unless an effective </w:t>
      </w:r>
      <w:r w:rsidRPr="00550590">
        <w:rPr>
          <w:rFonts w:ascii="Arial" w:hAnsi="Arial"/>
          <w:sz w:val="22"/>
          <w:szCs w:val="22"/>
        </w:rPr>
        <w:t xml:space="preserve">HACCP </w:t>
      </w:r>
      <w:r w:rsidR="00FE17AD">
        <w:rPr>
          <w:rFonts w:ascii="Arial" w:hAnsi="Arial"/>
          <w:sz w:val="22"/>
          <w:szCs w:val="22"/>
        </w:rPr>
        <w:t>system</w:t>
      </w:r>
      <w:r w:rsidR="00705D3A">
        <w:rPr>
          <w:rFonts w:ascii="Arial" w:hAnsi="Arial"/>
          <w:sz w:val="22"/>
          <w:szCs w:val="22"/>
        </w:rPr>
        <w:t xml:space="preserve"> </w:t>
      </w:r>
      <w:r w:rsidRPr="00550590">
        <w:rPr>
          <w:rFonts w:ascii="Arial" w:hAnsi="Arial"/>
          <w:sz w:val="22"/>
          <w:szCs w:val="22"/>
        </w:rPr>
        <w:t>is in place.  If any business is trading without adequate controls in place, consideration should be given to removing that approval and prohibiting sales until demonstrably robust and sustainable controls have been put in place by the business concerned.</w:t>
      </w:r>
    </w:p>
    <w:p w:rsidR="001C48A1" w:rsidRPr="00550590" w:rsidRDefault="001C48A1" w:rsidP="00A834CD">
      <w:pPr>
        <w:jc w:val="both"/>
        <w:rPr>
          <w:rFonts w:ascii="Arial" w:hAnsi="Arial"/>
          <w:b/>
          <w:sz w:val="22"/>
          <w:szCs w:val="22"/>
        </w:rPr>
      </w:pPr>
    </w:p>
    <w:p w:rsidR="001C48A1" w:rsidRPr="00155D91" w:rsidRDefault="001C48A1" w:rsidP="00A834CD">
      <w:pPr>
        <w:pStyle w:val="BodyText"/>
        <w:jc w:val="both"/>
        <w:rPr>
          <w:sz w:val="22"/>
        </w:rPr>
      </w:pPr>
      <w:r w:rsidRPr="00155D91">
        <w:rPr>
          <w:sz w:val="22"/>
        </w:rPr>
        <w:t>Research indicates that the main critical control point in the shucking process is the adequate removal of the hepatopancreas, mantle and gill. Research has indicated that the removal of these tissues will remove much of the biotoxins which may be present  in the animal</w:t>
      </w:r>
      <w:r w:rsidR="00DE0E1F" w:rsidRPr="00155D91">
        <w:rPr>
          <w:sz w:val="22"/>
        </w:rPr>
        <w:t xml:space="preserve">, with </w:t>
      </w:r>
      <w:r w:rsidR="004321C5" w:rsidRPr="00155D91">
        <w:rPr>
          <w:sz w:val="22"/>
        </w:rPr>
        <w:t>vigorous</w:t>
      </w:r>
      <w:r w:rsidR="00DE0E1F" w:rsidRPr="00155D91">
        <w:rPr>
          <w:sz w:val="22"/>
        </w:rPr>
        <w:t xml:space="preserve"> washing also considered important in order to remove any toxins that</w:t>
      </w:r>
      <w:r w:rsidR="00321465" w:rsidRPr="00155D91">
        <w:rPr>
          <w:sz w:val="22"/>
        </w:rPr>
        <w:t xml:space="preserve"> may be present in the gut loop</w:t>
      </w:r>
      <w:r w:rsidRPr="00155D91">
        <w:rPr>
          <w:sz w:val="22"/>
        </w:rPr>
        <w:t>.</w:t>
      </w:r>
    </w:p>
    <w:p w:rsidR="001C48A1" w:rsidRPr="00155D91" w:rsidRDefault="001C48A1" w:rsidP="00A834CD">
      <w:pPr>
        <w:pStyle w:val="BodyText"/>
        <w:jc w:val="both"/>
        <w:rPr>
          <w:sz w:val="22"/>
        </w:rPr>
      </w:pPr>
    </w:p>
    <w:p w:rsidR="001C48A1" w:rsidRPr="00155D91" w:rsidRDefault="001C48A1" w:rsidP="00A834CD">
      <w:pPr>
        <w:pStyle w:val="BodyText"/>
        <w:jc w:val="both"/>
        <w:rPr>
          <w:sz w:val="22"/>
        </w:rPr>
      </w:pPr>
      <w:r w:rsidRPr="00155D91">
        <w:rPr>
          <w:sz w:val="22"/>
        </w:rPr>
        <w:t xml:space="preserve">However it cannot be assumed that effective shucking practice </w:t>
      </w:r>
      <w:r w:rsidRPr="00155D91">
        <w:rPr>
          <w:sz w:val="22"/>
          <w:u w:val="single"/>
        </w:rPr>
        <w:t>alone</w:t>
      </w:r>
      <w:r w:rsidRPr="00155D91">
        <w:rPr>
          <w:sz w:val="22"/>
        </w:rPr>
        <w:t xml:space="preserve"> will ensure the removal of all of the biotoxin that may be present. </w:t>
      </w:r>
    </w:p>
    <w:p w:rsidR="001C48A1" w:rsidRPr="00155D91" w:rsidRDefault="001C48A1" w:rsidP="001C48A1">
      <w:pPr>
        <w:pStyle w:val="BodyText"/>
        <w:rPr>
          <w:sz w:val="22"/>
        </w:rPr>
      </w:pPr>
    </w:p>
    <w:p w:rsidR="001C48A1" w:rsidRPr="00155D91" w:rsidRDefault="001C48A1" w:rsidP="00A834CD">
      <w:pPr>
        <w:pStyle w:val="BodyText"/>
        <w:numPr>
          <w:ilvl w:val="0"/>
          <w:numId w:val="1"/>
        </w:numPr>
        <w:jc w:val="both"/>
        <w:rPr>
          <w:sz w:val="22"/>
        </w:rPr>
      </w:pPr>
      <w:r w:rsidRPr="00155D91">
        <w:rPr>
          <w:sz w:val="22"/>
        </w:rPr>
        <w:t xml:space="preserve">Evaluation of this process therefore, coupled with the general assessment of confidence in the processors’ own checks or EPT, (to check that the product does not exceed the statutory limits for PSP, ASP and </w:t>
      </w:r>
      <w:r w:rsidR="00A600D1" w:rsidRPr="00155D91">
        <w:rPr>
          <w:sz w:val="22"/>
        </w:rPr>
        <w:t>lipophilic toxins</w:t>
      </w:r>
      <w:r w:rsidR="00761546" w:rsidRPr="00155D91">
        <w:rPr>
          <w:sz w:val="22"/>
        </w:rPr>
        <w:t>)</w:t>
      </w:r>
      <w:r w:rsidRPr="00155D91">
        <w:rPr>
          <w:sz w:val="22"/>
        </w:rPr>
        <w:t xml:space="preserve"> should allow a risk assessment to be determined for each processing establishment and the level of O</w:t>
      </w:r>
      <w:r w:rsidR="00D60B03" w:rsidRPr="00155D91">
        <w:rPr>
          <w:sz w:val="22"/>
        </w:rPr>
        <w:t xml:space="preserve">fficial </w:t>
      </w:r>
      <w:r w:rsidRPr="00155D91">
        <w:rPr>
          <w:sz w:val="22"/>
        </w:rPr>
        <w:t>C</w:t>
      </w:r>
      <w:r w:rsidR="00D60B03" w:rsidRPr="00155D91">
        <w:rPr>
          <w:sz w:val="22"/>
        </w:rPr>
        <w:t>ontrol</w:t>
      </w:r>
      <w:r w:rsidRPr="00155D91">
        <w:rPr>
          <w:sz w:val="22"/>
        </w:rPr>
        <w:t xml:space="preserve"> checks can be applied accordingly.   For example a processor who conducts satisfactory EPT on product that is adequately shucked in conjunction with a full Hazard Analysis and Critical Control Points (HACCP) </w:t>
      </w:r>
      <w:r w:rsidR="00411702">
        <w:rPr>
          <w:sz w:val="22"/>
        </w:rPr>
        <w:t xml:space="preserve">system </w:t>
      </w:r>
      <w:r w:rsidRPr="00155D91">
        <w:rPr>
          <w:sz w:val="22"/>
        </w:rPr>
        <w:t>may require little O</w:t>
      </w:r>
      <w:r w:rsidR="00D60B03" w:rsidRPr="00155D91">
        <w:rPr>
          <w:sz w:val="22"/>
        </w:rPr>
        <w:t xml:space="preserve">fficial </w:t>
      </w:r>
      <w:r w:rsidRPr="00155D91">
        <w:rPr>
          <w:sz w:val="22"/>
        </w:rPr>
        <w:t xml:space="preserve"> sampling.</w:t>
      </w:r>
    </w:p>
    <w:p w:rsidR="001C48A1" w:rsidRPr="00155D91" w:rsidRDefault="001C48A1" w:rsidP="001C48A1">
      <w:pPr>
        <w:pStyle w:val="BodyText"/>
        <w:ind w:left="360"/>
        <w:rPr>
          <w:sz w:val="22"/>
        </w:rPr>
      </w:pPr>
    </w:p>
    <w:p w:rsidR="00CB3E09" w:rsidRPr="00155D91" w:rsidRDefault="00CB3E09" w:rsidP="00CB3E09">
      <w:pPr>
        <w:pStyle w:val="BodyText"/>
        <w:ind w:left="360"/>
        <w:rPr>
          <w:sz w:val="22"/>
        </w:rPr>
      </w:pPr>
    </w:p>
    <w:p w:rsidR="00CB3E09" w:rsidRPr="00155D91" w:rsidRDefault="001C48A1" w:rsidP="00A834CD">
      <w:pPr>
        <w:pStyle w:val="BodyText"/>
        <w:numPr>
          <w:ilvl w:val="0"/>
          <w:numId w:val="1"/>
        </w:numPr>
        <w:jc w:val="both"/>
        <w:rPr>
          <w:sz w:val="22"/>
        </w:rPr>
      </w:pPr>
      <w:r w:rsidRPr="00155D91">
        <w:rPr>
          <w:sz w:val="22"/>
        </w:rPr>
        <w:t>O</w:t>
      </w:r>
      <w:r w:rsidR="00D60B03" w:rsidRPr="00155D91">
        <w:rPr>
          <w:sz w:val="22"/>
        </w:rPr>
        <w:t xml:space="preserve">fficial </w:t>
      </w:r>
      <w:r w:rsidRPr="00155D91">
        <w:rPr>
          <w:sz w:val="22"/>
        </w:rPr>
        <w:t>C</w:t>
      </w:r>
      <w:r w:rsidR="00D60B03" w:rsidRPr="00155D91">
        <w:rPr>
          <w:sz w:val="22"/>
        </w:rPr>
        <w:t xml:space="preserve">ontrol </w:t>
      </w:r>
      <w:r w:rsidRPr="00155D91">
        <w:rPr>
          <w:sz w:val="22"/>
        </w:rPr>
        <w:t xml:space="preserve"> verification sampling is </w:t>
      </w:r>
      <w:r w:rsidRPr="00155D91">
        <w:rPr>
          <w:b/>
          <w:sz w:val="22"/>
        </w:rPr>
        <w:t xml:space="preserve">not </w:t>
      </w:r>
      <w:r w:rsidRPr="00155D91">
        <w:rPr>
          <w:sz w:val="22"/>
        </w:rPr>
        <w:t>always required prior to any enforcement action taking place</w:t>
      </w:r>
      <w:r w:rsidR="00F3532E" w:rsidRPr="00155D91">
        <w:rPr>
          <w:sz w:val="22"/>
        </w:rPr>
        <w:t xml:space="preserve"> and a sample that returns a negative result for any batch does not mean that the FBO has correctly identified or controlled the risks associated with his product.  </w:t>
      </w:r>
      <w:r w:rsidR="00CB3E09" w:rsidRPr="00155D91">
        <w:rPr>
          <w:sz w:val="22"/>
        </w:rPr>
        <w:t>A</w:t>
      </w:r>
      <w:r w:rsidR="00D60B03" w:rsidRPr="00155D91">
        <w:rPr>
          <w:sz w:val="22"/>
        </w:rPr>
        <w:t xml:space="preserve"> food business </w:t>
      </w:r>
      <w:r w:rsidR="00CB3E09" w:rsidRPr="00155D91">
        <w:rPr>
          <w:sz w:val="22"/>
        </w:rPr>
        <w:t xml:space="preserve">placing whole scallops on the market without having undertaken </w:t>
      </w:r>
      <w:r w:rsidR="005D2F6A" w:rsidRPr="00550590">
        <w:rPr>
          <w:sz w:val="22"/>
          <w:szCs w:val="22"/>
        </w:rPr>
        <w:t>adequate</w:t>
      </w:r>
      <w:r w:rsidR="00CB3E09" w:rsidRPr="00155D91">
        <w:rPr>
          <w:sz w:val="22"/>
        </w:rPr>
        <w:t xml:space="preserve"> EPT for example, </w:t>
      </w:r>
      <w:r w:rsidR="00F3532E" w:rsidRPr="00155D91">
        <w:rPr>
          <w:sz w:val="22"/>
        </w:rPr>
        <w:t>will be considered to</w:t>
      </w:r>
      <w:r w:rsidR="00CB3E09" w:rsidRPr="00155D91">
        <w:rPr>
          <w:sz w:val="22"/>
        </w:rPr>
        <w:t xml:space="preserve"> be in breach of Regulation 27 of the Food Hygiene (Scotland) Regulations 2006.</w:t>
      </w:r>
    </w:p>
    <w:p w:rsidR="00F3532E" w:rsidRPr="00155D91" w:rsidRDefault="00F3532E" w:rsidP="00A834CD">
      <w:pPr>
        <w:pStyle w:val="BodyText"/>
        <w:ind w:left="360"/>
        <w:jc w:val="both"/>
        <w:rPr>
          <w:sz w:val="22"/>
        </w:rPr>
      </w:pPr>
    </w:p>
    <w:p w:rsidR="00F3532E" w:rsidRPr="00155D91" w:rsidRDefault="00F3532E" w:rsidP="00A834CD">
      <w:pPr>
        <w:pStyle w:val="BodyText"/>
        <w:numPr>
          <w:ilvl w:val="0"/>
          <w:numId w:val="1"/>
        </w:numPr>
        <w:jc w:val="both"/>
        <w:rPr>
          <w:sz w:val="22"/>
        </w:rPr>
      </w:pPr>
      <w:r w:rsidRPr="00155D91">
        <w:rPr>
          <w:sz w:val="22"/>
        </w:rPr>
        <w:t>Any toxin positive result</w:t>
      </w:r>
      <w:r w:rsidR="00155D91">
        <w:rPr>
          <w:sz w:val="22"/>
        </w:rPr>
        <w:t xml:space="preserve"> above permitted levels</w:t>
      </w:r>
      <w:r w:rsidR="00FE17AD">
        <w:rPr>
          <w:sz w:val="22"/>
        </w:rPr>
        <w:t xml:space="preserve"> </w:t>
      </w:r>
      <w:r w:rsidRPr="00155D91">
        <w:rPr>
          <w:sz w:val="22"/>
        </w:rPr>
        <w:t xml:space="preserve"> should result in the immediate seizure and detention of that product and notice to the FBO that in order to continue to trade, measures, as specified by the local authority, should be taken in order to ensure public health protection.</w:t>
      </w:r>
    </w:p>
    <w:p w:rsidR="00CB3E09" w:rsidRPr="00155D91" w:rsidRDefault="00CB3E09" w:rsidP="00CB3E09">
      <w:pPr>
        <w:pStyle w:val="BodyText"/>
        <w:ind w:left="360"/>
        <w:rPr>
          <w:sz w:val="22"/>
        </w:rPr>
      </w:pPr>
    </w:p>
    <w:p w:rsidR="00CB3E09" w:rsidRPr="00155D91" w:rsidRDefault="00CB4ECD" w:rsidP="00A834CD">
      <w:pPr>
        <w:pStyle w:val="BodyText"/>
        <w:numPr>
          <w:ilvl w:val="0"/>
          <w:numId w:val="1"/>
        </w:numPr>
        <w:jc w:val="both"/>
        <w:rPr>
          <w:sz w:val="22"/>
        </w:rPr>
      </w:pPr>
      <w:r w:rsidRPr="00155D91">
        <w:rPr>
          <w:sz w:val="22"/>
        </w:rPr>
        <w:t xml:space="preserve">It is also known that </w:t>
      </w:r>
      <w:r w:rsidR="001C48A1" w:rsidRPr="00155D91">
        <w:rPr>
          <w:sz w:val="22"/>
        </w:rPr>
        <w:t>the quality of processor training, the actual quality of the shucking process, the HACCP system and end product testing as well as the environmental and biological factors affecting the biotoxin accumulation in the scallops are all important to the safety of the final product</w:t>
      </w:r>
      <w:r w:rsidR="00F3532E" w:rsidRPr="00155D91">
        <w:rPr>
          <w:sz w:val="22"/>
        </w:rPr>
        <w:t xml:space="preserve">.  Ensuring that the authorised officer is also adequately trained in order to make a determination as to the efficacy of the controls that are in place, is also vital. </w:t>
      </w:r>
    </w:p>
    <w:p w:rsidR="00CB3E09" w:rsidRPr="00155D91" w:rsidRDefault="00CB3E09" w:rsidP="00CB3E09">
      <w:pPr>
        <w:pStyle w:val="BodyText"/>
        <w:ind w:left="360"/>
        <w:rPr>
          <w:sz w:val="22"/>
        </w:rPr>
      </w:pPr>
    </w:p>
    <w:p w:rsidR="00CB3E09" w:rsidRPr="00155D91" w:rsidRDefault="001C48A1" w:rsidP="00A834CD">
      <w:pPr>
        <w:pStyle w:val="BodyText"/>
        <w:numPr>
          <w:ilvl w:val="0"/>
          <w:numId w:val="1"/>
        </w:numPr>
        <w:jc w:val="both"/>
        <w:rPr>
          <w:sz w:val="22"/>
        </w:rPr>
      </w:pPr>
      <w:r w:rsidRPr="00155D91">
        <w:rPr>
          <w:color w:val="000000"/>
          <w:sz w:val="22"/>
        </w:rPr>
        <w:t xml:space="preserve">Decisions on batch size and sample frequency for EPT are the responsibility of individual food businesses and will need to be determined on a case by case basis using risk assessment criteria. For example, EPT plans should take into account the risks associated with a particular time of year, the area the product has been </w:t>
      </w:r>
      <w:r w:rsidRPr="00155D91">
        <w:rPr>
          <w:color w:val="000000"/>
          <w:sz w:val="22"/>
        </w:rPr>
        <w:lastRenderedPageBreak/>
        <w:t>gathered from and the nature of the product to be offered for sale (i.e. shucked, adductor only, whole).</w:t>
      </w:r>
    </w:p>
    <w:p w:rsidR="00CB3E09" w:rsidRPr="00155D91" w:rsidRDefault="00CB3E09" w:rsidP="00A834CD">
      <w:pPr>
        <w:pStyle w:val="BodyText"/>
        <w:ind w:left="360"/>
        <w:jc w:val="both"/>
        <w:rPr>
          <w:sz w:val="22"/>
        </w:rPr>
      </w:pPr>
    </w:p>
    <w:p w:rsidR="00A834CD" w:rsidRDefault="00CB3E09" w:rsidP="00A834CD">
      <w:pPr>
        <w:pStyle w:val="BodyText"/>
        <w:numPr>
          <w:ilvl w:val="0"/>
          <w:numId w:val="1"/>
        </w:numPr>
        <w:jc w:val="both"/>
        <w:rPr>
          <w:sz w:val="22"/>
        </w:rPr>
      </w:pPr>
      <w:r w:rsidRPr="00155D91">
        <w:rPr>
          <w:b/>
          <w:sz w:val="22"/>
        </w:rPr>
        <w:t>Table 1</w:t>
      </w:r>
      <w:r w:rsidRPr="00155D91">
        <w:rPr>
          <w:sz w:val="22"/>
        </w:rPr>
        <w:t>.</w:t>
      </w:r>
      <w:r w:rsidR="001C48A1" w:rsidRPr="00155D91">
        <w:rPr>
          <w:sz w:val="22"/>
        </w:rPr>
        <w:t xml:space="preserve"> provides a suggestion as to how </w:t>
      </w:r>
      <w:r w:rsidR="00D60B03" w:rsidRPr="00155D91">
        <w:rPr>
          <w:sz w:val="22"/>
        </w:rPr>
        <w:t xml:space="preserve">official control </w:t>
      </w:r>
      <w:r w:rsidR="001C48A1" w:rsidRPr="00155D91">
        <w:rPr>
          <w:sz w:val="22"/>
        </w:rPr>
        <w:t>sampling might be scheduled within current arrangements promoting verification sampling during primary and secondary inspections and requi</w:t>
      </w:r>
      <w:r w:rsidRPr="00155D91">
        <w:rPr>
          <w:sz w:val="22"/>
        </w:rPr>
        <w:t>ring follow up action where non-</w:t>
      </w:r>
      <w:r w:rsidR="00A834CD">
        <w:rPr>
          <w:sz w:val="22"/>
        </w:rPr>
        <w:t>compliance is identified during initial verification checks.</w:t>
      </w:r>
    </w:p>
    <w:p w:rsidR="000E6D48" w:rsidRPr="00155D91" w:rsidRDefault="000E6D48" w:rsidP="00A834CD">
      <w:pPr>
        <w:pStyle w:val="BodyText"/>
        <w:ind w:left="360"/>
        <w:rPr>
          <w:sz w:val="22"/>
        </w:rPr>
        <w:sectPr w:rsidR="000E6D48" w:rsidRPr="00155D91">
          <w:type w:val="continuous"/>
          <w:pgSz w:w="11907" w:h="16840" w:code="9"/>
          <w:pgMar w:top="1440" w:right="1588" w:bottom="1440" w:left="1797" w:header="720" w:footer="720" w:gutter="0"/>
          <w:cols w:space="720"/>
          <w:titlePg/>
        </w:sectPr>
      </w:pPr>
    </w:p>
    <w:p w:rsidR="001C48A1" w:rsidRDefault="00175FBF" w:rsidP="00D87C21">
      <w:pPr>
        <w:pStyle w:val="Heading3"/>
      </w:pPr>
      <w:bookmarkStart w:id="40" w:name="_Toc462655897"/>
      <w:r>
        <w:lastRenderedPageBreak/>
        <w:t>Table 1</w:t>
      </w:r>
      <w:r w:rsidR="00D87C21" w:rsidRPr="00D87C21">
        <w:t xml:space="preserve"> Suggested </w:t>
      </w:r>
      <w:r w:rsidR="000E6D48">
        <w:t>f</w:t>
      </w:r>
      <w:r w:rsidR="00D87C21" w:rsidRPr="00D87C21">
        <w:t>requency of official control sampling in relation to</w:t>
      </w:r>
      <w:r w:rsidR="00D60B03">
        <w:t xml:space="preserve"> </w:t>
      </w:r>
      <w:r w:rsidR="000E6D48">
        <w:t>s</w:t>
      </w:r>
      <w:r w:rsidR="00D60B03">
        <w:t>callops</w:t>
      </w:r>
      <w:r w:rsidR="000E6D48">
        <w:t xml:space="preserve"> and enforcement action</w:t>
      </w:r>
      <w:bookmarkEnd w:id="40"/>
    </w:p>
    <w:p w:rsidR="00717D94" w:rsidRDefault="00717D94" w:rsidP="00935437"/>
    <w:p w:rsidR="00717D94" w:rsidRPr="00A834CD" w:rsidRDefault="00717D94" w:rsidP="00935437">
      <w:pPr>
        <w:rPr>
          <w:rFonts w:ascii="Arial" w:hAnsi="Arial" w:cs="Arial"/>
          <w:sz w:val="22"/>
        </w:rPr>
      </w:pPr>
      <w:r w:rsidRPr="00A834CD">
        <w:rPr>
          <w:rFonts w:ascii="Arial" w:hAnsi="Arial" w:cs="Arial"/>
          <w:sz w:val="22"/>
        </w:rPr>
        <w:t>Please note that EPT is expected to be carried out for the entire 3 biotoxin categories on a batch basis unless the business HACCP</w:t>
      </w:r>
      <w:r w:rsidR="00FE17AD" w:rsidRPr="00A834CD">
        <w:rPr>
          <w:rFonts w:ascii="Arial" w:hAnsi="Arial" w:cs="Arial"/>
          <w:sz w:val="22"/>
        </w:rPr>
        <w:t xml:space="preserve"> system</w:t>
      </w:r>
      <w:r w:rsidRPr="00A834CD">
        <w:rPr>
          <w:rFonts w:ascii="Arial" w:hAnsi="Arial" w:cs="Arial"/>
          <w:sz w:val="22"/>
        </w:rPr>
        <w:t xml:space="preserve"> </w:t>
      </w:r>
      <w:r w:rsidR="00155D91" w:rsidRPr="00A834CD">
        <w:rPr>
          <w:rFonts w:ascii="Arial" w:hAnsi="Arial" w:cs="Arial"/>
          <w:sz w:val="22"/>
        </w:rPr>
        <w:t>effectively</w:t>
      </w:r>
      <w:r w:rsidRPr="00A834CD">
        <w:rPr>
          <w:rFonts w:ascii="Arial" w:hAnsi="Arial" w:cs="Arial"/>
          <w:sz w:val="22"/>
        </w:rPr>
        <w:t xml:space="preserve"> demonstrates that a lesser frequency can be applied for any of these.</w:t>
      </w:r>
    </w:p>
    <w:p w:rsidR="00CB3E09" w:rsidRDefault="00CB3E09" w:rsidP="001C48A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1386"/>
        <w:gridCol w:w="1433"/>
        <w:gridCol w:w="1277"/>
        <w:gridCol w:w="1655"/>
        <w:gridCol w:w="1314"/>
        <w:gridCol w:w="1355"/>
      </w:tblGrid>
      <w:tr w:rsidR="00093884" w:rsidRPr="005D2F6A" w:rsidTr="00155D91">
        <w:trPr>
          <w:trHeight w:val="467"/>
        </w:trPr>
        <w:tc>
          <w:tcPr>
            <w:tcW w:w="0" w:type="auto"/>
          </w:tcPr>
          <w:p w:rsidR="00C038D2" w:rsidRPr="00C602B9" w:rsidRDefault="00C038D2" w:rsidP="001C48A1">
            <w:pPr>
              <w:pStyle w:val="BodyText"/>
              <w:rPr>
                <w:rFonts w:ascii="Calibri" w:hAnsi="Calibri" w:cs="Calibri"/>
                <w:sz w:val="20"/>
              </w:rPr>
            </w:pP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Product sold/practice</w:t>
            </w: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EPT adequacy</w:t>
            </w: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HACCP adequacy</w:t>
            </w:r>
          </w:p>
        </w:tc>
        <w:tc>
          <w:tcPr>
            <w:tcW w:w="0" w:type="auto"/>
          </w:tcPr>
          <w:p w:rsidR="00C038D2" w:rsidRPr="005D2F6A" w:rsidRDefault="00C038D2" w:rsidP="001C48A1">
            <w:pPr>
              <w:pStyle w:val="BodyText"/>
              <w:ind w:left="-108"/>
              <w:rPr>
                <w:rFonts w:ascii="Calibri" w:hAnsi="Calibri" w:cs="Calibri"/>
                <w:b/>
                <w:sz w:val="20"/>
              </w:rPr>
            </w:pPr>
            <w:r w:rsidRPr="005D2F6A">
              <w:rPr>
                <w:rFonts w:ascii="Calibri" w:hAnsi="Calibri" w:cs="Calibri"/>
                <w:b/>
                <w:sz w:val="20"/>
              </w:rPr>
              <w:t>OC sampling frequency</w:t>
            </w:r>
          </w:p>
        </w:tc>
        <w:tc>
          <w:tcPr>
            <w:tcW w:w="0" w:type="auto"/>
          </w:tcPr>
          <w:p w:rsidR="00C038D2" w:rsidRPr="005D2F6A" w:rsidRDefault="00C038D2" w:rsidP="001C48A1">
            <w:pPr>
              <w:pStyle w:val="BodyText"/>
              <w:ind w:left="-108"/>
              <w:rPr>
                <w:rFonts w:ascii="Calibri" w:hAnsi="Calibri" w:cs="Calibri"/>
                <w:b/>
                <w:sz w:val="20"/>
              </w:rPr>
            </w:pPr>
            <w:r w:rsidRPr="005D2F6A">
              <w:rPr>
                <w:rFonts w:ascii="Calibri" w:hAnsi="Calibri" w:cs="Calibri"/>
                <w:b/>
                <w:sz w:val="20"/>
              </w:rPr>
              <w:t>OC enforcement action</w:t>
            </w:r>
          </w:p>
        </w:tc>
        <w:tc>
          <w:tcPr>
            <w:tcW w:w="0" w:type="auto"/>
          </w:tcPr>
          <w:p w:rsidR="00C038D2" w:rsidRPr="005D2F6A" w:rsidRDefault="00C038D2" w:rsidP="001C48A1">
            <w:pPr>
              <w:pStyle w:val="BodyText"/>
              <w:ind w:left="-108"/>
              <w:rPr>
                <w:rFonts w:ascii="Calibri" w:hAnsi="Calibri" w:cs="Calibri"/>
                <w:b/>
                <w:sz w:val="20"/>
              </w:rPr>
            </w:pPr>
            <w:r w:rsidRPr="005D2F6A">
              <w:rPr>
                <w:rFonts w:ascii="Calibri" w:hAnsi="Calibri" w:cs="Calibri"/>
                <w:b/>
                <w:sz w:val="20"/>
              </w:rPr>
              <w:t>Expectation at audit</w:t>
            </w:r>
          </w:p>
        </w:tc>
      </w:tr>
      <w:tr w:rsidR="00093884" w:rsidRPr="005D2F6A" w:rsidTr="00155D91">
        <w:trPr>
          <w:cantSplit/>
        </w:trPr>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1</w:t>
            </w: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SHUCKED</w:t>
            </w:r>
          </w:p>
          <w:p w:rsidR="00C038D2" w:rsidRPr="005D2F6A" w:rsidRDefault="00C038D2" w:rsidP="005D2F6A">
            <w:pPr>
              <w:pStyle w:val="BodyText"/>
              <w:rPr>
                <w:rFonts w:ascii="Calibri" w:hAnsi="Calibri" w:cs="Calibri"/>
                <w:sz w:val="20"/>
              </w:rPr>
            </w:pPr>
            <w:r w:rsidRPr="005D2F6A">
              <w:rPr>
                <w:rFonts w:ascii="Calibri" w:hAnsi="Calibri" w:cs="Calibri"/>
                <w:b/>
                <w:sz w:val="20"/>
              </w:rPr>
              <w:t xml:space="preserve">Good </w:t>
            </w:r>
            <w:r w:rsidRPr="005D2F6A">
              <w:rPr>
                <w:rFonts w:ascii="Calibri" w:hAnsi="Calibri" w:cs="Calibri"/>
                <w:sz w:val="20"/>
              </w:rPr>
              <w:t>evidence of shucking being carried out adequately by trained processors</w:t>
            </w:r>
            <w:r w:rsidR="005D2F6A" w:rsidRPr="005D2F6A">
              <w:rPr>
                <w:rFonts w:ascii="Calibri" w:hAnsi="Calibri" w:cs="Calibri"/>
                <w:sz w:val="20"/>
              </w:rPr>
              <w:t>.  E.g. attendance at Seafish courses</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Frequency of testing demonstrated as compliant with risk assessment carried out in accordance with business HACCP procedures</w:t>
            </w:r>
          </w:p>
          <w:p w:rsidR="00C038D2" w:rsidRPr="005D2F6A" w:rsidRDefault="00C038D2" w:rsidP="001C48A1">
            <w:pPr>
              <w:pStyle w:val="BodyText"/>
              <w:rPr>
                <w:rFonts w:ascii="Calibri" w:hAnsi="Calibri" w:cs="Calibri"/>
                <w:sz w:val="20"/>
              </w:rPr>
            </w:pPr>
            <w:r w:rsidRPr="005D2F6A">
              <w:rPr>
                <w:rFonts w:ascii="Calibri" w:hAnsi="Calibri" w:cs="Calibri"/>
                <w:sz w:val="20"/>
              </w:rPr>
              <w:t>with documentary evidence to this effect.</w:t>
            </w:r>
          </w:p>
          <w:p w:rsidR="00C038D2" w:rsidRPr="005D2F6A" w:rsidRDefault="00C038D2" w:rsidP="001C48A1">
            <w:pPr>
              <w:pStyle w:val="BodyText"/>
              <w:rPr>
                <w:rFonts w:ascii="Calibri" w:hAnsi="Calibri" w:cs="Calibri"/>
                <w:sz w:val="20"/>
              </w:rPr>
            </w:pPr>
            <w:r w:rsidRPr="005D2F6A">
              <w:rPr>
                <w:rFonts w:ascii="Calibri" w:hAnsi="Calibri" w:cs="Calibri"/>
                <w:sz w:val="20"/>
              </w:rPr>
              <w:t>Full traceability systems in place.</w:t>
            </w:r>
          </w:p>
          <w:p w:rsidR="00C038D2" w:rsidRPr="005D2F6A" w:rsidRDefault="00C038D2" w:rsidP="001C48A1">
            <w:pPr>
              <w:pStyle w:val="BodyText"/>
              <w:rPr>
                <w:rFonts w:ascii="Calibri" w:hAnsi="Calibri" w:cs="Calibri"/>
                <w:sz w:val="20"/>
              </w:rPr>
            </w:pPr>
            <w:r w:rsidRPr="005D2F6A">
              <w:rPr>
                <w:rFonts w:ascii="Calibri" w:hAnsi="Calibri" w:cs="Calibri"/>
                <w:sz w:val="20"/>
              </w:rPr>
              <w:t>EPT results can be shown.</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Formally written, accurate and current</w:t>
            </w:r>
            <w:r w:rsidR="00091FF8" w:rsidRPr="005D2F6A">
              <w:rPr>
                <w:rFonts w:ascii="Calibri" w:hAnsi="Calibri" w:cs="Calibri"/>
                <w:sz w:val="20"/>
              </w:rPr>
              <w:t xml:space="preserve"> </w:t>
            </w:r>
            <w:r w:rsidRPr="005D2F6A">
              <w:rPr>
                <w:rFonts w:ascii="Calibri" w:hAnsi="Calibri" w:cs="Calibri"/>
                <w:sz w:val="20"/>
              </w:rPr>
              <w:t>HACCP plan that is understood by staff.</w:t>
            </w:r>
          </w:p>
          <w:p w:rsidR="00C038D2" w:rsidRPr="005D2F6A" w:rsidRDefault="00C038D2" w:rsidP="001C48A1">
            <w:pPr>
              <w:pStyle w:val="BodyText"/>
              <w:rPr>
                <w:rFonts w:ascii="Calibri" w:hAnsi="Calibri" w:cs="Calibri"/>
                <w:sz w:val="20"/>
              </w:rPr>
            </w:pPr>
            <w:r w:rsidRPr="005D2F6A">
              <w:rPr>
                <w:rFonts w:ascii="Calibri" w:hAnsi="Calibri" w:cs="Calibri"/>
                <w:sz w:val="20"/>
              </w:rPr>
              <w:t>Evidence of its adequacy and compliance within the business.</w:t>
            </w:r>
          </w:p>
          <w:p w:rsidR="00C038D2" w:rsidRPr="005D2F6A" w:rsidRDefault="00C038D2" w:rsidP="001C48A1">
            <w:pPr>
              <w:pStyle w:val="BodyText"/>
              <w:rPr>
                <w:rFonts w:ascii="Calibri" w:hAnsi="Calibri" w:cs="Calibri"/>
                <w:sz w:val="20"/>
              </w:rPr>
            </w:pPr>
            <w:r w:rsidRPr="005D2F6A">
              <w:rPr>
                <w:rFonts w:ascii="Calibri" w:hAnsi="Calibri" w:cs="Calibri"/>
                <w:sz w:val="20"/>
              </w:rPr>
              <w:t>Training records complete.</w:t>
            </w:r>
          </w:p>
          <w:p w:rsidR="00C038D2" w:rsidRPr="005D2F6A" w:rsidRDefault="00C038D2" w:rsidP="001C48A1">
            <w:pPr>
              <w:pStyle w:val="BodyText"/>
              <w:rPr>
                <w:rFonts w:ascii="Calibri" w:hAnsi="Calibri" w:cs="Calibri"/>
                <w:sz w:val="20"/>
              </w:rPr>
            </w:pPr>
            <w:r w:rsidRPr="005D2F6A">
              <w:rPr>
                <w:rFonts w:ascii="Calibri" w:hAnsi="Calibri" w:cs="Calibri"/>
                <w:sz w:val="20"/>
              </w:rPr>
              <w:t>Full biotoxin risk assessment in relation to product in evidence.</w:t>
            </w:r>
          </w:p>
          <w:p w:rsidR="00C038D2" w:rsidRPr="005D2F6A" w:rsidRDefault="00C038D2" w:rsidP="001C48A1">
            <w:pPr>
              <w:pStyle w:val="BodyText"/>
              <w:rPr>
                <w:rFonts w:ascii="Calibri" w:hAnsi="Calibri" w:cs="Calibri"/>
                <w:sz w:val="20"/>
              </w:rPr>
            </w:pPr>
            <w:r w:rsidRPr="005D2F6A">
              <w:rPr>
                <w:rFonts w:ascii="Calibri" w:hAnsi="Calibri" w:cs="Calibri"/>
                <w:sz w:val="20"/>
              </w:rPr>
              <w:t>Evidence of action plan in event of a failed sample.</w:t>
            </w:r>
          </w:p>
        </w:tc>
        <w:tc>
          <w:tcPr>
            <w:tcW w:w="0" w:type="auto"/>
          </w:tcPr>
          <w:p w:rsidR="00C038D2" w:rsidRPr="005D2F6A" w:rsidRDefault="00C038D2" w:rsidP="001C48A1">
            <w:pPr>
              <w:pStyle w:val="BodyText"/>
              <w:tabs>
                <w:tab w:val="left" w:pos="34"/>
                <w:tab w:val="left" w:pos="1735"/>
                <w:tab w:val="left" w:pos="2018"/>
                <w:tab w:val="left" w:pos="2160"/>
              </w:tabs>
              <w:ind w:left="34" w:right="459"/>
              <w:rPr>
                <w:rFonts w:ascii="Calibri" w:hAnsi="Calibri" w:cs="Calibri"/>
                <w:sz w:val="20"/>
              </w:rPr>
            </w:pPr>
          </w:p>
          <w:p w:rsidR="00C038D2" w:rsidRPr="005D2F6A" w:rsidRDefault="00C038D2" w:rsidP="001C48A1">
            <w:pPr>
              <w:pStyle w:val="BodyText"/>
              <w:tabs>
                <w:tab w:val="left" w:pos="34"/>
                <w:tab w:val="left" w:pos="1735"/>
                <w:tab w:val="left" w:pos="2018"/>
                <w:tab w:val="left" w:pos="2160"/>
              </w:tabs>
              <w:ind w:left="34" w:right="459"/>
              <w:rPr>
                <w:rFonts w:ascii="Calibri" w:hAnsi="Calibri" w:cs="Calibri"/>
                <w:sz w:val="20"/>
              </w:rPr>
            </w:pPr>
            <w:r w:rsidRPr="005D2F6A">
              <w:rPr>
                <w:rFonts w:ascii="Calibri" w:hAnsi="Calibri" w:cs="Calibri"/>
                <w:sz w:val="20"/>
              </w:rPr>
              <w:t>During scheduled inspections with up to 2 samples during the course of a 12 month period)</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No action</w:t>
            </w:r>
          </w:p>
        </w:tc>
        <w:tc>
          <w:tcPr>
            <w:tcW w:w="0" w:type="auto"/>
          </w:tcPr>
          <w:p w:rsidR="00C038D2" w:rsidRPr="005D2F6A" w:rsidRDefault="00113F20" w:rsidP="001C48A1">
            <w:pPr>
              <w:pStyle w:val="BodyText"/>
              <w:rPr>
                <w:rFonts w:ascii="Calibri" w:hAnsi="Calibri" w:cs="Calibri"/>
                <w:sz w:val="20"/>
              </w:rPr>
            </w:pPr>
            <w:r w:rsidRPr="00155D91">
              <w:rPr>
                <w:rFonts w:ascii="Calibri" w:hAnsi="Calibri"/>
                <w:sz w:val="20"/>
              </w:rPr>
              <w:t>Evidence that LA enforcement policy, COP requirements and relevant guidance, including this guidance, has been followed.</w:t>
            </w:r>
          </w:p>
        </w:tc>
      </w:tr>
      <w:tr w:rsidR="00093884" w:rsidRPr="005D2F6A" w:rsidTr="00155D91">
        <w:trPr>
          <w:cantSplit/>
        </w:trPr>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lastRenderedPageBreak/>
              <w:t>2</w:t>
            </w:r>
          </w:p>
        </w:tc>
        <w:tc>
          <w:tcPr>
            <w:tcW w:w="0" w:type="auto"/>
          </w:tcPr>
          <w:p w:rsidR="00C038D2" w:rsidRPr="005D2F6A" w:rsidRDefault="00C038D2" w:rsidP="001C48A1">
            <w:pPr>
              <w:pStyle w:val="BodyText"/>
              <w:ind w:right="-108"/>
              <w:rPr>
                <w:rFonts w:ascii="Calibri" w:hAnsi="Calibri" w:cs="Calibri"/>
                <w:b/>
                <w:sz w:val="20"/>
              </w:rPr>
            </w:pPr>
            <w:r w:rsidRPr="005D2F6A">
              <w:rPr>
                <w:rFonts w:ascii="Calibri" w:hAnsi="Calibri" w:cs="Calibri"/>
                <w:b/>
                <w:sz w:val="20"/>
              </w:rPr>
              <w:t>SHUCKED</w:t>
            </w:r>
          </w:p>
          <w:p w:rsidR="00C038D2" w:rsidRPr="005D2F6A" w:rsidRDefault="00C038D2" w:rsidP="001C48A1">
            <w:pPr>
              <w:pStyle w:val="BodyText"/>
              <w:ind w:right="-108"/>
              <w:rPr>
                <w:rFonts w:ascii="Calibri" w:hAnsi="Calibri" w:cs="Calibri"/>
                <w:sz w:val="20"/>
              </w:rPr>
            </w:pPr>
            <w:r w:rsidRPr="005D2F6A">
              <w:rPr>
                <w:rFonts w:ascii="Calibri" w:hAnsi="Calibri" w:cs="Calibri"/>
                <w:sz w:val="20"/>
              </w:rPr>
              <w:t xml:space="preserve">Shucking standards </w:t>
            </w:r>
            <w:r w:rsidRPr="005D2F6A">
              <w:rPr>
                <w:rFonts w:ascii="Calibri" w:hAnsi="Calibri" w:cs="Calibri"/>
                <w:b/>
                <w:sz w:val="20"/>
              </w:rPr>
              <w:t>poor or variable,</w:t>
            </w:r>
            <w:r w:rsidRPr="005D2F6A">
              <w:rPr>
                <w:rFonts w:ascii="Calibri" w:hAnsi="Calibri" w:cs="Calibri"/>
                <w:sz w:val="20"/>
              </w:rPr>
              <w:t xml:space="preserve"> training for processors not complete or comprehensive</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Sporadic or no EPT.</w:t>
            </w:r>
          </w:p>
          <w:p w:rsidR="00C038D2" w:rsidRPr="005D2F6A" w:rsidRDefault="00C038D2" w:rsidP="001C48A1">
            <w:pPr>
              <w:pStyle w:val="BodyText"/>
              <w:rPr>
                <w:rFonts w:ascii="Calibri" w:hAnsi="Calibri" w:cs="Calibri"/>
                <w:sz w:val="20"/>
              </w:rPr>
            </w:pPr>
            <w:r w:rsidRPr="005D2F6A">
              <w:rPr>
                <w:rFonts w:ascii="Calibri" w:hAnsi="Calibri" w:cs="Calibri"/>
                <w:sz w:val="20"/>
              </w:rPr>
              <w:t>Little or no evidence that frequency of testing is compliant with risk assessment carried out in accordance with business HACCP procedures. Little or no documentary evidence of risk assessment to inform EPT.</w:t>
            </w:r>
          </w:p>
          <w:p w:rsidR="00C038D2" w:rsidRPr="005D2F6A" w:rsidRDefault="00C038D2" w:rsidP="001C48A1">
            <w:pPr>
              <w:pStyle w:val="BodyText"/>
              <w:rPr>
                <w:rFonts w:ascii="Calibri" w:hAnsi="Calibri" w:cs="Calibri"/>
                <w:sz w:val="20"/>
              </w:rPr>
            </w:pPr>
            <w:r w:rsidRPr="005D2F6A">
              <w:rPr>
                <w:rFonts w:ascii="Calibri" w:hAnsi="Calibri" w:cs="Calibri"/>
                <w:sz w:val="20"/>
              </w:rPr>
              <w:t xml:space="preserve">Knowledge of risk assessment procedures inadequate. </w:t>
            </w:r>
          </w:p>
          <w:p w:rsidR="00C038D2" w:rsidRPr="005D2F6A" w:rsidRDefault="00C038D2" w:rsidP="001C48A1">
            <w:pPr>
              <w:pStyle w:val="BodyText"/>
              <w:rPr>
                <w:rFonts w:ascii="Calibri" w:hAnsi="Calibri" w:cs="Calibri"/>
                <w:sz w:val="20"/>
              </w:rPr>
            </w:pPr>
            <w:r w:rsidRPr="005D2F6A">
              <w:rPr>
                <w:rFonts w:ascii="Calibri" w:hAnsi="Calibri" w:cs="Calibri"/>
                <w:sz w:val="20"/>
              </w:rPr>
              <w:t>Traceability ill defined.</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General standard HACCP plan in evidence.</w:t>
            </w:r>
          </w:p>
          <w:p w:rsidR="00C038D2" w:rsidRPr="005D2F6A" w:rsidRDefault="00C038D2" w:rsidP="001C48A1">
            <w:pPr>
              <w:pStyle w:val="BodyText"/>
              <w:rPr>
                <w:rFonts w:ascii="Calibri" w:hAnsi="Calibri" w:cs="Calibri"/>
                <w:sz w:val="20"/>
              </w:rPr>
            </w:pPr>
            <w:r w:rsidRPr="005D2F6A">
              <w:rPr>
                <w:rFonts w:ascii="Calibri" w:hAnsi="Calibri" w:cs="Calibri"/>
                <w:sz w:val="20"/>
              </w:rPr>
              <w:t>No evidence of biotoxin issue being adequately addressed within the plan.</w:t>
            </w:r>
          </w:p>
          <w:p w:rsidR="00C038D2" w:rsidRPr="005D2F6A" w:rsidRDefault="00C038D2" w:rsidP="001C48A1">
            <w:pPr>
              <w:pStyle w:val="BodyText"/>
              <w:rPr>
                <w:rFonts w:ascii="Calibri" w:hAnsi="Calibri" w:cs="Calibri"/>
                <w:sz w:val="20"/>
              </w:rPr>
            </w:pPr>
            <w:r w:rsidRPr="005D2F6A">
              <w:rPr>
                <w:rFonts w:ascii="Calibri" w:hAnsi="Calibri" w:cs="Calibri"/>
                <w:sz w:val="20"/>
              </w:rPr>
              <w:t>Little evidence of action plan for use in the event of a failed sample.</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No additional sampling required – remedial action required</w:t>
            </w:r>
          </w:p>
        </w:tc>
        <w:tc>
          <w:tcPr>
            <w:tcW w:w="0" w:type="auto"/>
          </w:tcPr>
          <w:p w:rsidR="00C038D2" w:rsidRPr="005D2F6A" w:rsidRDefault="00C038D2" w:rsidP="00C038D2">
            <w:pPr>
              <w:pStyle w:val="BodyText"/>
              <w:rPr>
                <w:rFonts w:ascii="Calibri" w:hAnsi="Calibri" w:cs="Calibri"/>
                <w:sz w:val="20"/>
              </w:rPr>
            </w:pPr>
            <w:r w:rsidRPr="005D2F6A">
              <w:rPr>
                <w:rFonts w:ascii="Calibri" w:hAnsi="Calibri" w:cs="Calibri"/>
                <w:sz w:val="20"/>
              </w:rPr>
              <w:t>Formal enforcement action.  Consider remove approval unles</w:t>
            </w:r>
            <w:r w:rsidR="005D2F6A" w:rsidRPr="005D2F6A">
              <w:rPr>
                <w:rFonts w:ascii="Calibri" w:hAnsi="Calibri" w:cs="Calibri"/>
                <w:sz w:val="20"/>
              </w:rPr>
              <w:t xml:space="preserve">s immediate remedial is taken  </w:t>
            </w:r>
            <w:r w:rsidRPr="005D2F6A">
              <w:rPr>
                <w:rFonts w:ascii="Calibri" w:hAnsi="Calibri" w:cs="Calibri"/>
                <w:sz w:val="20"/>
              </w:rPr>
              <w:t>Remedial action and potential product recall required.</w:t>
            </w:r>
          </w:p>
        </w:tc>
        <w:tc>
          <w:tcPr>
            <w:tcW w:w="0" w:type="auto"/>
          </w:tcPr>
          <w:p w:rsidR="00C038D2" w:rsidRPr="005D2F6A" w:rsidRDefault="00113F20" w:rsidP="001C48A1">
            <w:pPr>
              <w:pStyle w:val="BodyText"/>
              <w:rPr>
                <w:rFonts w:ascii="Calibri" w:hAnsi="Calibri" w:cs="Calibri"/>
                <w:sz w:val="20"/>
              </w:rPr>
            </w:pPr>
            <w:r w:rsidRPr="00155D91">
              <w:rPr>
                <w:rFonts w:ascii="Calibri" w:hAnsi="Calibri"/>
                <w:sz w:val="20"/>
              </w:rPr>
              <w:t>Evidence that LA enforcement policy, COP requirements and relevant guidance, including this guidance, has been followed.</w:t>
            </w:r>
          </w:p>
        </w:tc>
      </w:tr>
      <w:tr w:rsidR="00093884" w:rsidRPr="005D2F6A" w:rsidTr="00155D91">
        <w:trPr>
          <w:cantSplit/>
          <w:trHeight w:val="1780"/>
        </w:trPr>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4</w:t>
            </w:r>
          </w:p>
        </w:tc>
        <w:tc>
          <w:tcPr>
            <w:tcW w:w="0" w:type="auto"/>
          </w:tcPr>
          <w:p w:rsidR="00C038D2" w:rsidRPr="005D2F6A" w:rsidRDefault="00C038D2" w:rsidP="00CB3E09">
            <w:pPr>
              <w:pStyle w:val="BodyText"/>
              <w:rPr>
                <w:rFonts w:ascii="Calibri" w:hAnsi="Calibri" w:cs="Calibri"/>
                <w:b/>
                <w:sz w:val="20"/>
              </w:rPr>
            </w:pPr>
            <w:r w:rsidRPr="005D2F6A">
              <w:rPr>
                <w:rFonts w:ascii="Calibri" w:hAnsi="Calibri" w:cs="Calibri"/>
                <w:b/>
                <w:sz w:val="20"/>
              </w:rPr>
              <w:t xml:space="preserve">WHOLE </w:t>
            </w: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EPT every batch or in accordance with robust risk assessment</w:t>
            </w:r>
          </w:p>
        </w:tc>
        <w:tc>
          <w:tcPr>
            <w:tcW w:w="0" w:type="auto"/>
          </w:tcPr>
          <w:p w:rsidR="00C038D2" w:rsidRPr="005D2F6A" w:rsidRDefault="00C038D2" w:rsidP="007A4578">
            <w:pPr>
              <w:pStyle w:val="BodyText"/>
              <w:rPr>
                <w:rFonts w:ascii="Calibri" w:hAnsi="Calibri" w:cs="Calibri"/>
                <w:sz w:val="20"/>
              </w:rPr>
            </w:pPr>
            <w:r w:rsidRPr="005D2F6A">
              <w:rPr>
                <w:rFonts w:ascii="Calibri" w:hAnsi="Calibri" w:cs="Calibri"/>
                <w:sz w:val="20"/>
              </w:rPr>
              <w:t>Formally written accurate and current HACCP.</w:t>
            </w:r>
          </w:p>
          <w:p w:rsidR="00C038D2" w:rsidRPr="005D2F6A" w:rsidRDefault="00C038D2" w:rsidP="007A4578">
            <w:pPr>
              <w:pStyle w:val="BodyText"/>
              <w:rPr>
                <w:rFonts w:ascii="Calibri" w:hAnsi="Calibri" w:cs="Calibri"/>
                <w:sz w:val="20"/>
              </w:rPr>
            </w:pPr>
            <w:r w:rsidRPr="005D2F6A">
              <w:rPr>
                <w:rFonts w:ascii="Calibri" w:hAnsi="Calibri" w:cs="Calibri"/>
                <w:sz w:val="20"/>
              </w:rPr>
              <w:t>Evidence of its adequacy and compliance within the business.</w:t>
            </w:r>
          </w:p>
          <w:p w:rsidR="00C038D2" w:rsidRPr="005D2F6A" w:rsidRDefault="00C038D2" w:rsidP="007A4578">
            <w:pPr>
              <w:pStyle w:val="BodyText"/>
              <w:rPr>
                <w:rFonts w:ascii="Calibri" w:hAnsi="Calibri" w:cs="Calibri"/>
                <w:sz w:val="20"/>
              </w:rPr>
            </w:pPr>
            <w:r w:rsidRPr="005D2F6A">
              <w:rPr>
                <w:rFonts w:ascii="Calibri" w:hAnsi="Calibri" w:cs="Calibri"/>
                <w:sz w:val="20"/>
              </w:rPr>
              <w:t>Training records complete.</w:t>
            </w:r>
          </w:p>
          <w:p w:rsidR="00C038D2" w:rsidRPr="005D2F6A" w:rsidRDefault="00C038D2" w:rsidP="007A4578">
            <w:pPr>
              <w:pStyle w:val="BodyText"/>
              <w:rPr>
                <w:rFonts w:ascii="Calibri" w:hAnsi="Calibri" w:cs="Calibri"/>
                <w:sz w:val="20"/>
              </w:rPr>
            </w:pPr>
            <w:r w:rsidRPr="005D2F6A">
              <w:rPr>
                <w:rFonts w:ascii="Calibri" w:hAnsi="Calibri" w:cs="Calibri"/>
                <w:sz w:val="20"/>
              </w:rPr>
              <w:t>Full biotoxin risk assessment in relation to product in evidence.</w:t>
            </w:r>
          </w:p>
          <w:p w:rsidR="00C038D2" w:rsidRPr="005D2F6A" w:rsidRDefault="00C038D2" w:rsidP="007A4578">
            <w:pPr>
              <w:pStyle w:val="BodyText"/>
              <w:rPr>
                <w:rFonts w:ascii="Calibri" w:hAnsi="Calibri" w:cs="Calibri"/>
                <w:sz w:val="20"/>
              </w:rPr>
            </w:pPr>
            <w:r w:rsidRPr="005D2F6A">
              <w:rPr>
                <w:rFonts w:ascii="Calibri" w:hAnsi="Calibri" w:cs="Calibri"/>
                <w:sz w:val="20"/>
              </w:rPr>
              <w:t>Evidence of action plan in event of a failed sample.</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Every scheduled visit (minimum 2 times per year)</w:t>
            </w:r>
          </w:p>
        </w:tc>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t>No action</w:t>
            </w:r>
          </w:p>
        </w:tc>
        <w:tc>
          <w:tcPr>
            <w:tcW w:w="0" w:type="auto"/>
          </w:tcPr>
          <w:p w:rsidR="00C038D2" w:rsidRPr="005D2F6A" w:rsidRDefault="00113F20" w:rsidP="001C48A1">
            <w:pPr>
              <w:pStyle w:val="BodyText"/>
              <w:rPr>
                <w:rFonts w:ascii="Calibri" w:hAnsi="Calibri" w:cs="Calibri"/>
                <w:sz w:val="20"/>
              </w:rPr>
            </w:pPr>
            <w:r w:rsidRPr="00155D91">
              <w:rPr>
                <w:rFonts w:ascii="Calibri" w:hAnsi="Calibri"/>
                <w:sz w:val="20"/>
              </w:rPr>
              <w:t>Evidence that LA enforcement policy, COP requirements and relevant guidance, including this guidance, has been followed</w:t>
            </w:r>
            <w:r w:rsidRPr="005D2F6A">
              <w:rPr>
                <w:rFonts w:ascii="Calibri" w:hAnsi="Calibri" w:cs="Calibri"/>
                <w:sz w:val="20"/>
              </w:rPr>
              <w:t>.</w:t>
            </w:r>
          </w:p>
        </w:tc>
      </w:tr>
      <w:tr w:rsidR="00093884" w:rsidRPr="00C602B9" w:rsidTr="00155D91">
        <w:trPr>
          <w:cantSplit/>
          <w:trHeight w:val="1780"/>
        </w:trPr>
        <w:tc>
          <w:tcPr>
            <w:tcW w:w="0" w:type="auto"/>
          </w:tcPr>
          <w:p w:rsidR="00C038D2" w:rsidRPr="005D2F6A" w:rsidRDefault="00C038D2" w:rsidP="001C48A1">
            <w:pPr>
              <w:pStyle w:val="BodyText"/>
              <w:rPr>
                <w:rFonts w:ascii="Calibri" w:hAnsi="Calibri" w:cs="Calibri"/>
                <w:sz w:val="20"/>
              </w:rPr>
            </w:pPr>
            <w:r w:rsidRPr="005D2F6A">
              <w:rPr>
                <w:rFonts w:ascii="Calibri" w:hAnsi="Calibri" w:cs="Calibri"/>
                <w:sz w:val="20"/>
              </w:rPr>
              <w:lastRenderedPageBreak/>
              <w:t>5</w:t>
            </w:r>
          </w:p>
        </w:tc>
        <w:tc>
          <w:tcPr>
            <w:tcW w:w="0" w:type="auto"/>
          </w:tcPr>
          <w:p w:rsidR="00C038D2" w:rsidRPr="005D2F6A" w:rsidRDefault="00C038D2" w:rsidP="00CB3E09">
            <w:pPr>
              <w:pStyle w:val="BodyText"/>
              <w:rPr>
                <w:rFonts w:ascii="Calibri" w:hAnsi="Calibri" w:cs="Calibri"/>
                <w:b/>
                <w:sz w:val="20"/>
              </w:rPr>
            </w:pPr>
            <w:r w:rsidRPr="005D2F6A">
              <w:rPr>
                <w:rFonts w:ascii="Calibri" w:hAnsi="Calibri" w:cs="Calibri"/>
                <w:b/>
                <w:sz w:val="20"/>
              </w:rPr>
              <w:t>WHOLE</w:t>
            </w:r>
          </w:p>
        </w:tc>
        <w:tc>
          <w:tcPr>
            <w:tcW w:w="0" w:type="auto"/>
          </w:tcPr>
          <w:p w:rsidR="00C038D2" w:rsidRPr="005D2F6A" w:rsidRDefault="00C038D2" w:rsidP="001C48A1">
            <w:pPr>
              <w:pStyle w:val="BodyText"/>
              <w:rPr>
                <w:rFonts w:ascii="Calibri" w:hAnsi="Calibri" w:cs="Calibri"/>
                <w:b/>
                <w:sz w:val="20"/>
              </w:rPr>
            </w:pPr>
            <w:r w:rsidRPr="005D2F6A">
              <w:rPr>
                <w:rFonts w:ascii="Calibri" w:hAnsi="Calibri" w:cs="Calibri"/>
                <w:b/>
                <w:sz w:val="20"/>
              </w:rPr>
              <w:t>Sporadic or limited EPT</w:t>
            </w:r>
          </w:p>
        </w:tc>
        <w:tc>
          <w:tcPr>
            <w:tcW w:w="0" w:type="auto"/>
          </w:tcPr>
          <w:p w:rsidR="00C038D2" w:rsidRPr="005D2F6A" w:rsidRDefault="00C038D2" w:rsidP="00CF5615">
            <w:pPr>
              <w:pStyle w:val="BodyText"/>
              <w:rPr>
                <w:rFonts w:ascii="Calibri" w:hAnsi="Calibri" w:cs="Calibri"/>
                <w:sz w:val="20"/>
              </w:rPr>
            </w:pPr>
            <w:r w:rsidRPr="005D2F6A">
              <w:rPr>
                <w:rFonts w:ascii="Calibri" w:hAnsi="Calibri" w:cs="Calibri"/>
                <w:sz w:val="20"/>
              </w:rPr>
              <w:t xml:space="preserve">HACCP plan, incomplete or inadequate. No real appreciation of biotoxin </w:t>
            </w:r>
            <w:r w:rsidR="00CF5615" w:rsidRPr="005D2F6A">
              <w:rPr>
                <w:rFonts w:ascii="Calibri" w:hAnsi="Calibri" w:cs="Calibri"/>
                <w:sz w:val="20"/>
              </w:rPr>
              <w:t>risk</w:t>
            </w:r>
            <w:r w:rsidRPr="005D2F6A">
              <w:rPr>
                <w:rFonts w:ascii="Calibri" w:hAnsi="Calibri" w:cs="Calibri"/>
                <w:sz w:val="20"/>
              </w:rPr>
              <w:t>. No training records for staff</w:t>
            </w:r>
            <w:r w:rsidR="00CF5615" w:rsidRPr="005D2F6A">
              <w:rPr>
                <w:rFonts w:ascii="Calibri" w:hAnsi="Calibri" w:cs="Calibri"/>
                <w:sz w:val="20"/>
              </w:rPr>
              <w:t>, general lack of control</w:t>
            </w:r>
            <w:r w:rsidRPr="005D2F6A">
              <w:rPr>
                <w:rFonts w:ascii="Calibri" w:hAnsi="Calibri" w:cs="Calibri"/>
                <w:sz w:val="20"/>
              </w:rPr>
              <w:t>.</w:t>
            </w:r>
          </w:p>
        </w:tc>
        <w:tc>
          <w:tcPr>
            <w:tcW w:w="0" w:type="auto"/>
          </w:tcPr>
          <w:p w:rsidR="00C038D2" w:rsidRPr="005D2F6A" w:rsidRDefault="00C038D2" w:rsidP="007A4578">
            <w:pPr>
              <w:pStyle w:val="BodyText"/>
              <w:rPr>
                <w:rFonts w:ascii="Calibri" w:hAnsi="Calibri" w:cs="Calibri"/>
                <w:sz w:val="20"/>
              </w:rPr>
            </w:pPr>
            <w:r w:rsidRPr="005D2F6A">
              <w:rPr>
                <w:rFonts w:ascii="Calibri" w:hAnsi="Calibri" w:cs="Calibri"/>
                <w:sz w:val="20"/>
              </w:rPr>
              <w:t xml:space="preserve">Immediate intervention  and suggest sample on site.  </w:t>
            </w:r>
          </w:p>
          <w:p w:rsidR="00C038D2" w:rsidRPr="005D2F6A" w:rsidRDefault="00C038D2" w:rsidP="001C48A1">
            <w:pPr>
              <w:pStyle w:val="BodyText"/>
              <w:rPr>
                <w:rFonts w:ascii="Calibri" w:hAnsi="Calibri" w:cs="Calibri"/>
                <w:sz w:val="20"/>
              </w:rPr>
            </w:pPr>
          </w:p>
        </w:tc>
        <w:tc>
          <w:tcPr>
            <w:tcW w:w="0" w:type="auto"/>
          </w:tcPr>
          <w:p w:rsidR="00C038D2" w:rsidRPr="005D2F6A" w:rsidRDefault="00C038D2" w:rsidP="00091FF8">
            <w:pPr>
              <w:pStyle w:val="BodyText"/>
              <w:rPr>
                <w:rFonts w:ascii="Calibri" w:hAnsi="Calibri" w:cs="Calibri"/>
                <w:sz w:val="20"/>
              </w:rPr>
            </w:pPr>
            <w:r w:rsidRPr="005D2F6A">
              <w:rPr>
                <w:rFonts w:ascii="Calibri" w:hAnsi="Calibri" w:cs="Calibri"/>
                <w:sz w:val="20"/>
              </w:rPr>
              <w:t>Immediate RAN.  Seizure and detention, P</w:t>
            </w:r>
            <w:r w:rsidR="00091FF8" w:rsidRPr="005D2F6A">
              <w:rPr>
                <w:rFonts w:ascii="Calibri" w:hAnsi="Calibri" w:cs="Calibri"/>
                <w:sz w:val="20"/>
              </w:rPr>
              <w:t>roduct recall.  Remove approval.</w:t>
            </w:r>
          </w:p>
        </w:tc>
        <w:tc>
          <w:tcPr>
            <w:tcW w:w="0" w:type="auto"/>
          </w:tcPr>
          <w:p w:rsidR="00C038D2" w:rsidRDefault="00113F20" w:rsidP="001C48A1">
            <w:pPr>
              <w:pStyle w:val="BodyText"/>
              <w:rPr>
                <w:rFonts w:ascii="Calibri" w:hAnsi="Calibri" w:cs="Calibri"/>
                <w:sz w:val="20"/>
              </w:rPr>
            </w:pPr>
            <w:r w:rsidRPr="00155D91">
              <w:rPr>
                <w:rFonts w:ascii="Calibri" w:hAnsi="Calibri"/>
                <w:sz w:val="20"/>
              </w:rPr>
              <w:t>Evidence that LA enforcement policy, COP requirements and relevant guidance, including this guidance, has been followed</w:t>
            </w:r>
            <w:r w:rsidRPr="005D2F6A">
              <w:rPr>
                <w:rFonts w:ascii="Calibri" w:hAnsi="Calibri" w:cs="Calibri"/>
                <w:sz w:val="20"/>
              </w:rPr>
              <w:t>.</w:t>
            </w:r>
          </w:p>
        </w:tc>
      </w:tr>
    </w:tbl>
    <w:p w:rsidR="00FB688F" w:rsidRPr="000E6D48" w:rsidRDefault="00A600D1" w:rsidP="000E6D48">
      <w:pPr>
        <w:pStyle w:val="Heading3"/>
        <w:rPr>
          <w:sz w:val="22"/>
        </w:rPr>
      </w:pPr>
      <w:r>
        <w:rPr>
          <w:sz w:val="22"/>
        </w:rPr>
        <w:br w:type="page"/>
      </w:r>
      <w:bookmarkStart w:id="41" w:name="_Toc462655898"/>
      <w:r w:rsidR="00FB688F">
        <w:lastRenderedPageBreak/>
        <w:t>ANNEX C</w:t>
      </w:r>
      <w:r w:rsidR="00D87C21">
        <w:t xml:space="preserve"> – Sample collection protocol</w:t>
      </w:r>
      <w:bookmarkEnd w:id="41"/>
    </w:p>
    <w:p w:rsidR="00D87C21" w:rsidRDefault="00D87C21" w:rsidP="00FB688F">
      <w:pPr>
        <w:tabs>
          <w:tab w:val="left" w:pos="2404"/>
        </w:tabs>
        <w:rPr>
          <w:rFonts w:ascii="Arial" w:hAnsi="Arial"/>
          <w:sz w:val="22"/>
        </w:rPr>
      </w:pPr>
    </w:p>
    <w:p w:rsidR="00D87C21" w:rsidRPr="00D87C21" w:rsidRDefault="00D87C21" w:rsidP="00DB148C">
      <w:pPr>
        <w:tabs>
          <w:tab w:val="left" w:pos="2404"/>
        </w:tabs>
        <w:jc w:val="both"/>
        <w:rPr>
          <w:rFonts w:ascii="Arial" w:hAnsi="Arial"/>
          <w:sz w:val="22"/>
        </w:rPr>
      </w:pPr>
      <w:r w:rsidRPr="00D87C21">
        <w:rPr>
          <w:rFonts w:ascii="Arial" w:hAnsi="Arial"/>
          <w:sz w:val="22"/>
        </w:rPr>
        <w:t xml:space="preserve">The </w:t>
      </w:r>
      <w:r>
        <w:rPr>
          <w:rFonts w:ascii="Arial" w:hAnsi="Arial"/>
          <w:sz w:val="22"/>
        </w:rPr>
        <w:t xml:space="preserve">sampling </w:t>
      </w:r>
      <w:r w:rsidRPr="00D87C21">
        <w:rPr>
          <w:rFonts w:ascii="Arial" w:hAnsi="Arial"/>
          <w:sz w:val="22"/>
        </w:rPr>
        <w:t xml:space="preserve">protocol indicates how the OC sample should be gathered and details the method, amount and equipment required to </w:t>
      </w:r>
      <w:r w:rsidR="00DB148C" w:rsidRPr="00D87C21">
        <w:rPr>
          <w:rFonts w:ascii="Arial" w:hAnsi="Arial"/>
          <w:sz w:val="22"/>
        </w:rPr>
        <w:t>fulfil</w:t>
      </w:r>
      <w:r w:rsidRPr="00D87C21">
        <w:rPr>
          <w:rFonts w:ascii="Arial" w:hAnsi="Arial"/>
          <w:sz w:val="22"/>
        </w:rPr>
        <w:t xml:space="preserve"> this. The sample submission form must accompany the samples to the laboratory.  </w:t>
      </w:r>
    </w:p>
    <w:p w:rsidR="00D87C21" w:rsidRPr="00D87C21" w:rsidRDefault="00D87C21" w:rsidP="00DB148C">
      <w:pPr>
        <w:tabs>
          <w:tab w:val="left" w:pos="2404"/>
        </w:tabs>
        <w:jc w:val="both"/>
        <w:rPr>
          <w:rFonts w:ascii="Arial" w:hAnsi="Arial"/>
          <w:sz w:val="22"/>
        </w:rPr>
      </w:pPr>
    </w:p>
    <w:p w:rsidR="00470423" w:rsidRDefault="00D87C21" w:rsidP="00DB148C">
      <w:pPr>
        <w:tabs>
          <w:tab w:val="left" w:pos="2404"/>
        </w:tabs>
        <w:jc w:val="both"/>
        <w:rPr>
          <w:rFonts w:ascii="Arial" w:hAnsi="Arial"/>
          <w:sz w:val="22"/>
        </w:rPr>
      </w:pPr>
      <w:r>
        <w:rPr>
          <w:rFonts w:ascii="Arial" w:hAnsi="Arial"/>
          <w:sz w:val="22"/>
        </w:rPr>
        <w:t>Please ensure that the protocol in the following link is followed.  Cefas are contracted by FSS to provide logistical support for pectinidae sampling in Scotland.</w:t>
      </w:r>
    </w:p>
    <w:p w:rsidR="00470423" w:rsidRDefault="00470423" w:rsidP="00D87C21">
      <w:pPr>
        <w:tabs>
          <w:tab w:val="left" w:pos="2404"/>
        </w:tabs>
        <w:rPr>
          <w:rFonts w:ascii="Arial" w:hAnsi="Arial"/>
          <w:sz w:val="22"/>
        </w:rPr>
      </w:pPr>
    </w:p>
    <w:p w:rsidR="00470423" w:rsidRDefault="00CF39F3" w:rsidP="00D87C21">
      <w:pPr>
        <w:tabs>
          <w:tab w:val="left" w:pos="2404"/>
        </w:tabs>
        <w:rPr>
          <w:rFonts w:ascii="Arial" w:hAnsi="Arial"/>
          <w:sz w:val="22"/>
        </w:rPr>
      </w:pPr>
      <w:hyperlink r:id="rId29" w:history="1">
        <w:r w:rsidR="00470423" w:rsidRPr="00683AB2">
          <w:rPr>
            <w:rStyle w:val="Hyperlink"/>
            <w:rFonts w:ascii="Arial" w:hAnsi="Arial"/>
            <w:sz w:val="22"/>
          </w:rPr>
          <w:t>https://www.cefas.co.uk/cefas-data-hub/food-safety/the-shellfish-partnership/</w:t>
        </w:r>
      </w:hyperlink>
    </w:p>
    <w:p w:rsidR="008B5DBF" w:rsidRPr="008B5DBF" w:rsidRDefault="008B5DBF" w:rsidP="008B5DBF">
      <w:pPr>
        <w:ind w:right="283"/>
        <w:jc w:val="both"/>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Shellfish samples should be collected from identified processors/</w:t>
      </w:r>
      <w:r w:rsidR="00DB148C" w:rsidRPr="008B5DBF">
        <w:rPr>
          <w:rFonts w:ascii="Arial" w:hAnsi="Arial" w:cs="Arial"/>
          <w:sz w:val="22"/>
          <w:szCs w:val="22"/>
          <w:lang w:val="en-US" w:eastAsia="en-US"/>
        </w:rPr>
        <w:t>dispatch</w:t>
      </w:r>
      <w:r w:rsidRPr="008B5DBF">
        <w:rPr>
          <w:rFonts w:ascii="Arial" w:hAnsi="Arial" w:cs="Arial"/>
          <w:sz w:val="22"/>
          <w:szCs w:val="22"/>
          <w:lang w:val="en-US" w:eastAsia="en-US"/>
        </w:rPr>
        <w:t xml:space="preserve"> centre/auction markets at a frequency determined by risk assessment. </w:t>
      </w:r>
    </w:p>
    <w:p w:rsidR="008B5DBF" w:rsidRPr="008B5DBF" w:rsidRDefault="008B5DBF" w:rsidP="00A834CD">
      <w:pPr>
        <w:ind w:right="283"/>
        <w:jc w:val="both"/>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 xml:space="preserve">Ideally samples should be collected between Monday and Tuesday and posted to Cefas Weymouth using the boxes provided.   </w:t>
      </w:r>
    </w:p>
    <w:p w:rsidR="008B5DBF" w:rsidRPr="008B5DBF" w:rsidRDefault="008B5DBF" w:rsidP="00A834CD">
      <w:pPr>
        <w:ind w:right="283"/>
        <w:jc w:val="both"/>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Shellfish sample size should be such that at least 200g of meat can be provided for the ASP, DSP/LTs and PSP assays. This is usually achieved by the following minimum numbers of suitable commercial size animals:</w:t>
      </w:r>
    </w:p>
    <w:p w:rsidR="008B5DBF" w:rsidRPr="008B5DBF" w:rsidRDefault="008B5DBF" w:rsidP="00DB148C">
      <w:pPr>
        <w:ind w:right="283" w:hanging="1065"/>
        <w:rPr>
          <w:rFonts w:ascii="Arial" w:hAnsi="Arial" w:cs="Arial"/>
          <w:sz w:val="22"/>
          <w:szCs w:val="22"/>
          <w:lang w:val="en-US" w:eastAsia="en-US"/>
        </w:rPr>
      </w:pP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Whole King Scallop</w:t>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t>30 shells</w:t>
      </w: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Shucked King Scallop (adductor and gonad tissue)</w:t>
      </w:r>
      <w:r w:rsidRPr="008B5DBF">
        <w:rPr>
          <w:rFonts w:ascii="Arial" w:hAnsi="Arial" w:cs="Arial"/>
          <w:sz w:val="22"/>
          <w:szCs w:val="22"/>
          <w:lang w:val="en-US" w:eastAsia="en-US"/>
        </w:rPr>
        <w:tab/>
      </w:r>
      <w:r w:rsidRPr="008B5DBF">
        <w:rPr>
          <w:rFonts w:ascii="Arial" w:hAnsi="Arial" w:cs="Arial"/>
          <w:sz w:val="22"/>
          <w:szCs w:val="22"/>
          <w:lang w:val="en-US" w:eastAsia="en-US"/>
        </w:rPr>
        <w:tab/>
        <w:t>30 pieces</w:t>
      </w: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Adductor (white) meat of King Scallop</w:t>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t>30 pieces</w:t>
      </w: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 xml:space="preserve">Whole Queen Scallop </w:t>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t>50 shells</w:t>
      </w: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Shucked Queen Scallop (whole or adductor/gonad)</w:t>
      </w:r>
      <w:r w:rsidRPr="008B5DBF">
        <w:rPr>
          <w:rFonts w:ascii="Arial" w:hAnsi="Arial" w:cs="Arial"/>
          <w:sz w:val="22"/>
          <w:szCs w:val="22"/>
          <w:lang w:val="en-US" w:eastAsia="en-US"/>
        </w:rPr>
        <w:tab/>
      </w:r>
      <w:r w:rsidRPr="008B5DBF">
        <w:rPr>
          <w:rFonts w:ascii="Arial" w:hAnsi="Arial" w:cs="Arial"/>
          <w:sz w:val="22"/>
          <w:szCs w:val="22"/>
          <w:lang w:val="en-US" w:eastAsia="en-US"/>
        </w:rPr>
        <w:tab/>
        <w:t>50 pieces</w:t>
      </w:r>
    </w:p>
    <w:p w:rsidR="008B5DBF" w:rsidRPr="008B5DBF" w:rsidRDefault="008B5DBF" w:rsidP="00DB148C">
      <w:pPr>
        <w:numPr>
          <w:ilvl w:val="1"/>
          <w:numId w:val="8"/>
        </w:numPr>
        <w:ind w:right="283"/>
        <w:rPr>
          <w:rFonts w:ascii="Arial" w:hAnsi="Arial" w:cs="Arial"/>
          <w:sz w:val="22"/>
          <w:szCs w:val="22"/>
          <w:lang w:val="en-US" w:eastAsia="en-US"/>
        </w:rPr>
      </w:pPr>
      <w:r w:rsidRPr="008B5DBF">
        <w:rPr>
          <w:rFonts w:ascii="Arial" w:hAnsi="Arial" w:cs="Arial"/>
          <w:sz w:val="22"/>
          <w:szCs w:val="22"/>
          <w:lang w:val="en-US" w:eastAsia="en-US"/>
        </w:rPr>
        <w:t>Adductor (white) meat of Queen Scallop</w:t>
      </w:r>
      <w:r w:rsidRPr="008B5DBF">
        <w:rPr>
          <w:rFonts w:ascii="Arial" w:hAnsi="Arial" w:cs="Arial"/>
          <w:sz w:val="22"/>
          <w:szCs w:val="22"/>
          <w:lang w:val="en-US" w:eastAsia="en-US"/>
        </w:rPr>
        <w:tab/>
      </w:r>
      <w:r w:rsidRPr="008B5DBF">
        <w:rPr>
          <w:rFonts w:ascii="Arial" w:hAnsi="Arial" w:cs="Arial"/>
          <w:sz w:val="22"/>
          <w:szCs w:val="22"/>
          <w:lang w:val="en-US" w:eastAsia="en-US"/>
        </w:rPr>
        <w:tab/>
      </w:r>
      <w:r w:rsidRPr="008B5DBF">
        <w:rPr>
          <w:rFonts w:ascii="Arial" w:hAnsi="Arial" w:cs="Arial"/>
          <w:sz w:val="22"/>
          <w:szCs w:val="22"/>
          <w:lang w:val="en-US" w:eastAsia="en-US"/>
        </w:rPr>
        <w:tab/>
        <w:t>50 pieces</w:t>
      </w:r>
    </w:p>
    <w:p w:rsidR="008B5DBF" w:rsidRPr="008B5DBF" w:rsidRDefault="008B5DBF" w:rsidP="00DB148C">
      <w:pPr>
        <w:ind w:right="283" w:firstLine="720"/>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Shellfish must be placed in the polythene bags provided, closed with the cable ties and a completed self-adhesive label attached to each bag.</w:t>
      </w:r>
    </w:p>
    <w:p w:rsidR="008B5DBF" w:rsidRPr="008B5DBF" w:rsidRDefault="008B5DBF" w:rsidP="00A834CD">
      <w:pPr>
        <w:ind w:left="709" w:right="283" w:hanging="709"/>
        <w:jc w:val="both"/>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 xml:space="preserve">A sample submission form </w:t>
      </w:r>
      <w:r w:rsidR="00AB5090">
        <w:rPr>
          <w:rStyle w:val="FootnoteReference"/>
          <w:rFonts w:ascii="Arial" w:hAnsi="Arial" w:cs="Arial"/>
          <w:sz w:val="22"/>
          <w:szCs w:val="22"/>
          <w:lang w:val="en-US" w:eastAsia="en-US"/>
        </w:rPr>
        <w:footnoteReference w:id="9"/>
      </w:r>
      <w:r w:rsidRPr="008B5DBF">
        <w:rPr>
          <w:rFonts w:ascii="Arial" w:hAnsi="Arial" w:cs="Arial"/>
          <w:sz w:val="22"/>
          <w:szCs w:val="22"/>
          <w:lang w:val="en-US" w:eastAsia="en-US"/>
        </w:rPr>
        <w:t>must also be completed for every processor and the submission form placed in the document wallet in the box being sent to Cefas Weymouth.</w:t>
      </w:r>
      <w:r w:rsidR="00AB5090">
        <w:rPr>
          <w:rFonts w:ascii="Arial" w:hAnsi="Arial" w:cs="Arial"/>
          <w:sz w:val="22"/>
          <w:szCs w:val="22"/>
          <w:lang w:val="en-US" w:eastAsia="en-US"/>
        </w:rPr>
        <w:t xml:space="preserve">  </w:t>
      </w:r>
    </w:p>
    <w:p w:rsidR="008B5DBF" w:rsidRPr="008B5DBF" w:rsidRDefault="008B5DBF" w:rsidP="00A834CD">
      <w:pPr>
        <w:ind w:left="709" w:right="283" w:hanging="709"/>
        <w:jc w:val="both"/>
        <w:rPr>
          <w:rFonts w:ascii="Arial" w:hAnsi="Arial" w:cs="Arial"/>
          <w:sz w:val="22"/>
          <w:szCs w:val="22"/>
          <w:lang w:val="en-US" w:eastAsia="en-US"/>
        </w:rPr>
      </w:pPr>
    </w:p>
    <w:p w:rsidR="008B5DBF" w:rsidRPr="00AB5090" w:rsidRDefault="008B5DBF" w:rsidP="00A834CD">
      <w:pPr>
        <w:numPr>
          <w:ilvl w:val="0"/>
          <w:numId w:val="8"/>
        </w:numPr>
        <w:ind w:right="283"/>
        <w:jc w:val="both"/>
        <w:rPr>
          <w:rFonts w:ascii="Arial" w:hAnsi="Arial" w:cs="Arial"/>
          <w:b/>
          <w:sz w:val="22"/>
          <w:szCs w:val="22"/>
          <w:lang w:val="en-US" w:eastAsia="en-US"/>
        </w:rPr>
      </w:pPr>
      <w:r w:rsidRPr="008B5DBF">
        <w:rPr>
          <w:rFonts w:ascii="Arial" w:hAnsi="Arial" w:cs="Arial"/>
          <w:sz w:val="22"/>
          <w:szCs w:val="22"/>
          <w:lang w:val="en-US" w:eastAsia="en-US"/>
        </w:rPr>
        <w:t xml:space="preserve">The bagged samples should be placed in the box provided along with pre-chilled cool packs.   The boxes must be sealed with adhesive tape and a prepaid postage label attached to the boxes before being posted to </w:t>
      </w:r>
      <w:r w:rsidRPr="00AB5090">
        <w:rPr>
          <w:rFonts w:ascii="Arial" w:hAnsi="Arial" w:cs="Arial"/>
          <w:b/>
          <w:sz w:val="22"/>
          <w:szCs w:val="22"/>
          <w:lang w:val="en-US" w:eastAsia="en-US"/>
        </w:rPr>
        <w:t>Cefas, Weymouth Laboratory, Barrack Road, The Nothe, Weymouth, Dorset, DT4 8UB (for purposes of Royal Mail Special Delivery, we have been assigned the postcode DT4 8BF)</w:t>
      </w:r>
    </w:p>
    <w:p w:rsidR="008B5DBF" w:rsidRPr="008B5DBF" w:rsidRDefault="008B5DBF" w:rsidP="00A834CD">
      <w:pPr>
        <w:ind w:left="709" w:right="283" w:hanging="709"/>
        <w:jc w:val="both"/>
        <w:rPr>
          <w:rFonts w:ascii="Arial" w:hAnsi="Arial" w:cs="Arial"/>
          <w:sz w:val="22"/>
          <w:szCs w:val="22"/>
          <w:lang w:val="en-US" w:eastAsia="en-US"/>
        </w:rPr>
      </w:pPr>
    </w:p>
    <w:p w:rsidR="008B5DBF" w:rsidRPr="008B5DBF" w:rsidRDefault="008B5DBF" w:rsidP="00A834CD">
      <w:pPr>
        <w:numPr>
          <w:ilvl w:val="0"/>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Any queries or problems should be referred to:-</w:t>
      </w:r>
    </w:p>
    <w:p w:rsidR="008B5DBF" w:rsidRPr="008B5DBF" w:rsidRDefault="008B5DBF" w:rsidP="00A834CD">
      <w:pPr>
        <w:numPr>
          <w:ilvl w:val="1"/>
          <w:numId w:val="8"/>
        </w:numPr>
        <w:ind w:right="283"/>
        <w:jc w:val="both"/>
        <w:rPr>
          <w:rFonts w:ascii="Arial" w:hAnsi="Arial" w:cs="Arial"/>
          <w:sz w:val="22"/>
          <w:szCs w:val="22"/>
          <w:lang w:val="en-US" w:eastAsia="en-US"/>
        </w:rPr>
      </w:pPr>
      <w:r w:rsidRPr="008B5DBF">
        <w:rPr>
          <w:rFonts w:ascii="Arial" w:hAnsi="Arial" w:cs="Arial"/>
          <w:sz w:val="22"/>
          <w:szCs w:val="22"/>
          <w:lang w:val="en-US" w:eastAsia="en-US"/>
        </w:rPr>
        <w:t>Cefas on: 01305 206713, fax 01305 206601.</w:t>
      </w:r>
    </w:p>
    <w:p w:rsidR="008B5DBF" w:rsidRPr="008B5DBF" w:rsidRDefault="00CF39F3" w:rsidP="00DB148C">
      <w:pPr>
        <w:numPr>
          <w:ilvl w:val="1"/>
          <w:numId w:val="8"/>
        </w:numPr>
        <w:ind w:right="283"/>
        <w:rPr>
          <w:rFonts w:ascii="Arial" w:hAnsi="Arial" w:cs="Arial"/>
          <w:sz w:val="22"/>
          <w:szCs w:val="22"/>
          <w:lang w:val="en-US" w:eastAsia="en-US"/>
        </w:rPr>
      </w:pPr>
      <w:hyperlink r:id="rId30" w:history="1">
        <w:r w:rsidR="008B5DBF" w:rsidRPr="008B5DBF">
          <w:rPr>
            <w:rFonts w:ascii="Arial" w:hAnsi="Arial" w:cs="Arial"/>
            <w:color w:val="0000FF"/>
            <w:sz w:val="22"/>
            <w:u w:val="single"/>
            <w:lang w:val="en-US" w:eastAsia="en-US"/>
          </w:rPr>
          <w:t>biotoxinmonitoring@cefas.co.uk</w:t>
        </w:r>
      </w:hyperlink>
    </w:p>
    <w:p w:rsidR="008B5DBF" w:rsidRDefault="008B5DBF" w:rsidP="00D87C21">
      <w:pPr>
        <w:tabs>
          <w:tab w:val="left" w:pos="2404"/>
        </w:tabs>
        <w:rPr>
          <w:rFonts w:ascii="Arial" w:hAnsi="Arial"/>
          <w:sz w:val="22"/>
        </w:rPr>
      </w:pPr>
    </w:p>
    <w:p w:rsidR="00470423" w:rsidRDefault="00470423" w:rsidP="00D87C21">
      <w:pPr>
        <w:tabs>
          <w:tab w:val="left" w:pos="2404"/>
        </w:tabs>
        <w:rPr>
          <w:rFonts w:ascii="Arial" w:hAnsi="Arial"/>
          <w:sz w:val="22"/>
        </w:rPr>
      </w:pPr>
    </w:p>
    <w:p w:rsidR="00FB688F" w:rsidRDefault="00FB688F" w:rsidP="00FB688F">
      <w:pPr>
        <w:tabs>
          <w:tab w:val="left" w:pos="2404"/>
        </w:tabs>
        <w:rPr>
          <w:rFonts w:ascii="Arial" w:hAnsi="Arial"/>
          <w:sz w:val="22"/>
        </w:rPr>
      </w:pPr>
    </w:p>
    <w:p w:rsidR="00FB688F" w:rsidRDefault="00FB688F" w:rsidP="00FB688F">
      <w:pPr>
        <w:rPr>
          <w:rFonts w:ascii="Arial" w:hAnsi="Arial"/>
          <w:sz w:val="22"/>
        </w:rPr>
      </w:pPr>
    </w:p>
    <w:p w:rsidR="001C48A1" w:rsidRPr="00FB688F" w:rsidRDefault="001C48A1" w:rsidP="00FB688F">
      <w:pPr>
        <w:rPr>
          <w:rFonts w:ascii="Arial" w:hAnsi="Arial"/>
          <w:sz w:val="22"/>
        </w:rPr>
        <w:sectPr w:rsidR="001C48A1" w:rsidRPr="00FB688F" w:rsidSect="000E6D48">
          <w:pgSz w:w="11907" w:h="16840" w:code="9"/>
          <w:pgMar w:top="1440" w:right="1588" w:bottom="1440" w:left="1797" w:header="720" w:footer="720" w:gutter="0"/>
          <w:cols w:space="720"/>
          <w:titlePg/>
        </w:sectPr>
      </w:pPr>
    </w:p>
    <w:p w:rsidR="00A04D11" w:rsidRDefault="00AB5090" w:rsidP="00AB5090">
      <w:pPr>
        <w:pStyle w:val="Heading3"/>
      </w:pPr>
      <w:bookmarkStart w:id="42" w:name="_Toc462655899"/>
      <w:r>
        <w:lastRenderedPageBreak/>
        <w:t xml:space="preserve">ANNEX D </w:t>
      </w:r>
      <w:r w:rsidR="003123A5">
        <w:t>–</w:t>
      </w:r>
      <w:r>
        <w:t xml:space="preserve"> </w:t>
      </w:r>
      <w:r w:rsidR="003123A5">
        <w:t>Offshore map showing area ‘boxes’</w:t>
      </w:r>
      <w:bookmarkEnd w:id="42"/>
    </w:p>
    <w:p w:rsidR="00E9406D" w:rsidRDefault="00E9406D" w:rsidP="00E9406D"/>
    <w:p w:rsidR="00E9406D" w:rsidRDefault="00E9406D" w:rsidP="00E9406D"/>
    <w:bookmarkStart w:id="43" w:name="_MON_1214812400"/>
    <w:bookmarkEnd w:id="43"/>
    <w:p w:rsidR="00E9406D" w:rsidRDefault="00E9406D" w:rsidP="00E9406D">
      <w:pPr>
        <w:sectPr w:rsidR="00E9406D">
          <w:pgSz w:w="11907" w:h="16840" w:code="9"/>
          <w:pgMar w:top="1440" w:right="1588" w:bottom="1440" w:left="1797" w:header="720" w:footer="720" w:gutter="0"/>
          <w:cols w:space="720"/>
        </w:sectPr>
      </w:pPr>
      <w:r>
        <w:object w:dxaOrig="8306" w:dyaOrig="11337" w14:anchorId="058D931E">
          <v:shape id="_x0000_i1027" type="#_x0000_t75" style="width:415.5pt;height:567pt" o:ole="" fillcolor="window">
            <v:imagedata r:id="rId31" o:title=""/>
          </v:shape>
          <o:OLEObject Type="Embed" ProgID="Word.Document.8" ShapeID="_x0000_i1027" DrawAspect="Content" ObjectID="_1548759616" r:id="rId32">
            <o:FieldCodes>\s</o:FieldCodes>
          </o:OLEObject>
        </w:object>
      </w:r>
    </w:p>
    <w:p w:rsidR="006444CD" w:rsidRPr="006444CD" w:rsidRDefault="006444CD" w:rsidP="006D483F">
      <w:pPr>
        <w:pStyle w:val="Heading3"/>
        <w:rPr>
          <w:color w:val="FF0000"/>
        </w:rPr>
      </w:pPr>
    </w:p>
    <w:p w:rsidR="00A04D11" w:rsidRPr="00155D91" w:rsidRDefault="003123A5" w:rsidP="006D483F">
      <w:pPr>
        <w:pStyle w:val="Heading3"/>
        <w:rPr>
          <w:sz w:val="22"/>
        </w:rPr>
      </w:pPr>
      <w:bookmarkStart w:id="44" w:name="_Toc462655900"/>
      <w:r w:rsidRPr="00155D91">
        <w:rPr>
          <w:sz w:val="22"/>
        </w:rPr>
        <w:t>ANNEX</w:t>
      </w:r>
      <w:r w:rsidR="006D483F" w:rsidRPr="00155D91">
        <w:rPr>
          <w:sz w:val="22"/>
        </w:rPr>
        <w:t xml:space="preserve"> E.  What is a batch</w:t>
      </w:r>
      <w:r w:rsidR="006444CD" w:rsidRPr="00155D91">
        <w:rPr>
          <w:sz w:val="22"/>
        </w:rPr>
        <w:t xml:space="preserve"> and what is a representative sample</w:t>
      </w:r>
      <w:r w:rsidR="006D483F" w:rsidRPr="00155D91">
        <w:rPr>
          <w:sz w:val="22"/>
        </w:rPr>
        <w:t>?</w:t>
      </w:r>
      <w:bookmarkEnd w:id="44"/>
    </w:p>
    <w:p w:rsidR="006444CD" w:rsidRPr="00155D91" w:rsidRDefault="006444CD" w:rsidP="006D483F">
      <w:pPr>
        <w:rPr>
          <w:sz w:val="18"/>
        </w:rPr>
      </w:pPr>
    </w:p>
    <w:p w:rsidR="006444CD" w:rsidRPr="00155D91" w:rsidRDefault="006444CD" w:rsidP="00DB148C">
      <w:pPr>
        <w:jc w:val="both"/>
        <w:rPr>
          <w:rFonts w:ascii="Arial" w:hAnsi="Arial"/>
          <w:sz w:val="22"/>
        </w:rPr>
      </w:pPr>
      <w:r w:rsidRPr="00155D91">
        <w:rPr>
          <w:rFonts w:ascii="Arial" w:hAnsi="Arial"/>
          <w:sz w:val="22"/>
        </w:rPr>
        <w:t>Bivalves are animals which can migrate, be a</w:t>
      </w:r>
      <w:r w:rsidR="00FE17AD">
        <w:rPr>
          <w:rFonts w:ascii="Arial" w:hAnsi="Arial"/>
          <w:sz w:val="22"/>
        </w:rPr>
        <w:t>t</w:t>
      </w:r>
      <w:r w:rsidRPr="00155D91">
        <w:rPr>
          <w:rFonts w:ascii="Arial" w:hAnsi="Arial"/>
          <w:sz w:val="22"/>
        </w:rPr>
        <w:t xml:space="preserve"> different stages in their life cycle and therefore may also accumulate toxins at different rates.  Therefore a food business should take reasonable steps in accordance with their own risk assessment to determine what constitutes a batch of scallops and which shellfish should form a representative sample of that batch.</w:t>
      </w:r>
      <w:r w:rsidR="006925E6" w:rsidRPr="00155D91">
        <w:rPr>
          <w:rFonts w:ascii="Arial" w:hAnsi="Arial"/>
          <w:sz w:val="22"/>
        </w:rPr>
        <w:t xml:space="preserve">  In determining a definition for a ‘batch’ FSS considered definitions in use by international trading partners</w:t>
      </w:r>
      <w:r w:rsidR="005F5DD9" w:rsidRPr="00155D91">
        <w:rPr>
          <w:rFonts w:ascii="Arial" w:hAnsi="Arial"/>
          <w:sz w:val="22"/>
        </w:rPr>
        <w:t>:</w:t>
      </w:r>
    </w:p>
    <w:p w:rsidR="006444CD" w:rsidRPr="00155D91" w:rsidRDefault="006444CD" w:rsidP="00DB148C">
      <w:pPr>
        <w:jc w:val="both"/>
        <w:rPr>
          <w:rFonts w:ascii="Arial" w:hAnsi="Arial"/>
          <w:sz w:val="22"/>
        </w:rPr>
      </w:pPr>
    </w:p>
    <w:p w:rsidR="008D111C" w:rsidRPr="00155D91" w:rsidRDefault="00A526C2" w:rsidP="00DB148C">
      <w:pPr>
        <w:jc w:val="both"/>
        <w:rPr>
          <w:rFonts w:ascii="Arial" w:hAnsi="Arial"/>
          <w:sz w:val="22"/>
        </w:rPr>
      </w:pPr>
      <w:r w:rsidRPr="00155D91">
        <w:rPr>
          <w:rFonts w:ascii="Arial" w:hAnsi="Arial"/>
          <w:sz w:val="22"/>
        </w:rPr>
        <w:t xml:space="preserve">According to </w:t>
      </w:r>
      <w:r w:rsidR="008D111C" w:rsidRPr="00155D91">
        <w:rPr>
          <w:rFonts w:ascii="Arial" w:hAnsi="Arial"/>
          <w:sz w:val="22"/>
        </w:rPr>
        <w:t xml:space="preserve"> processing standards set out by the </w:t>
      </w:r>
      <w:r w:rsidR="008D111C" w:rsidRPr="00155D91">
        <w:rPr>
          <w:rFonts w:ascii="Arial" w:hAnsi="Arial"/>
          <w:b/>
          <w:sz w:val="22"/>
        </w:rPr>
        <w:t>Australian Government:</w:t>
      </w:r>
      <w:r w:rsidR="008D111C" w:rsidRPr="00155D91">
        <w:rPr>
          <w:rFonts w:ascii="Arial" w:hAnsi="Arial"/>
          <w:sz w:val="22"/>
        </w:rPr>
        <w:t xml:space="preserve">  </w:t>
      </w:r>
    </w:p>
    <w:p w:rsidR="008D111C" w:rsidRPr="00155D91" w:rsidRDefault="008D111C" w:rsidP="00DB148C">
      <w:pPr>
        <w:jc w:val="both"/>
        <w:rPr>
          <w:rFonts w:ascii="Arial" w:hAnsi="Arial"/>
          <w:sz w:val="22"/>
        </w:rPr>
      </w:pPr>
    </w:p>
    <w:p w:rsidR="00314C84" w:rsidRPr="00155D91" w:rsidRDefault="008D111C" w:rsidP="00DB148C">
      <w:pPr>
        <w:jc w:val="both"/>
        <w:rPr>
          <w:rFonts w:ascii="Arial" w:hAnsi="Arial"/>
          <w:sz w:val="22"/>
        </w:rPr>
      </w:pPr>
      <w:r w:rsidRPr="00155D91">
        <w:rPr>
          <w:rFonts w:ascii="Arial" w:hAnsi="Arial"/>
          <w:b/>
          <w:sz w:val="22"/>
        </w:rPr>
        <w:t>“</w:t>
      </w:r>
      <w:r w:rsidR="00A526C2" w:rsidRPr="00155D91">
        <w:rPr>
          <w:rFonts w:ascii="Arial" w:hAnsi="Arial"/>
          <w:b/>
          <w:sz w:val="22"/>
        </w:rPr>
        <w:t>batch</w:t>
      </w:r>
      <w:r w:rsidRPr="00155D91">
        <w:rPr>
          <w:rFonts w:ascii="Arial" w:hAnsi="Arial"/>
          <w:b/>
          <w:sz w:val="22"/>
        </w:rPr>
        <w:t xml:space="preserve">” </w:t>
      </w:r>
      <w:r w:rsidR="00A526C2" w:rsidRPr="00155D91">
        <w:rPr>
          <w:rFonts w:ascii="Arial" w:hAnsi="Arial"/>
          <w:sz w:val="22"/>
        </w:rPr>
        <w:t xml:space="preserve"> means a quantity of bivalve molluscs harvested from a particular harvesting area (e.g. marine farm, lease or designated wild shellstock harvest area) and with the same harvest date</w:t>
      </w:r>
      <w:r w:rsidRPr="00155D91">
        <w:rPr>
          <w:rStyle w:val="FootnoteReference"/>
          <w:rFonts w:ascii="Arial" w:hAnsi="Arial"/>
          <w:sz w:val="22"/>
        </w:rPr>
        <w:footnoteReference w:id="10"/>
      </w:r>
      <w:r w:rsidRPr="00155D91">
        <w:rPr>
          <w:rFonts w:ascii="Arial" w:hAnsi="Arial"/>
          <w:sz w:val="22"/>
        </w:rPr>
        <w:t>.</w:t>
      </w:r>
    </w:p>
    <w:p w:rsidR="00314C84" w:rsidRPr="00155D91" w:rsidRDefault="00314C84" w:rsidP="00DB148C">
      <w:pPr>
        <w:jc w:val="both"/>
        <w:rPr>
          <w:rFonts w:ascii="Arial" w:hAnsi="Arial"/>
          <w:sz w:val="22"/>
        </w:rPr>
      </w:pPr>
    </w:p>
    <w:p w:rsidR="00314C84" w:rsidRPr="00155D91" w:rsidRDefault="00314C84" w:rsidP="00DB148C">
      <w:pPr>
        <w:jc w:val="both"/>
        <w:rPr>
          <w:rFonts w:ascii="Arial" w:hAnsi="Arial"/>
          <w:sz w:val="22"/>
        </w:rPr>
      </w:pPr>
      <w:r w:rsidRPr="00155D91">
        <w:rPr>
          <w:rFonts w:ascii="Arial" w:hAnsi="Arial"/>
          <w:sz w:val="22"/>
        </w:rPr>
        <w:t xml:space="preserve">The </w:t>
      </w:r>
      <w:r w:rsidRPr="00155D91">
        <w:rPr>
          <w:rFonts w:ascii="Arial" w:hAnsi="Arial"/>
          <w:b/>
          <w:sz w:val="22"/>
        </w:rPr>
        <w:t>Canadian Shellfish Sanitation Programme</w:t>
      </w:r>
      <w:r w:rsidRPr="00155D91">
        <w:rPr>
          <w:rFonts w:ascii="Arial" w:hAnsi="Arial"/>
          <w:sz w:val="22"/>
        </w:rPr>
        <w:t xml:space="preserve"> applies the following definition</w:t>
      </w:r>
      <w:r w:rsidR="006925E6" w:rsidRPr="00155D91">
        <w:rPr>
          <w:rFonts w:ascii="Arial" w:hAnsi="Arial"/>
          <w:sz w:val="22"/>
        </w:rPr>
        <w:t>s</w:t>
      </w:r>
      <w:r w:rsidRPr="00155D91">
        <w:rPr>
          <w:rFonts w:ascii="Arial" w:hAnsi="Arial"/>
          <w:sz w:val="22"/>
        </w:rPr>
        <w:t>:</w:t>
      </w:r>
    </w:p>
    <w:p w:rsidR="00314C84" w:rsidRPr="00155D91" w:rsidRDefault="00314C84" w:rsidP="00DB148C">
      <w:pPr>
        <w:jc w:val="both"/>
        <w:rPr>
          <w:rFonts w:ascii="Arial" w:hAnsi="Arial"/>
          <w:sz w:val="22"/>
        </w:rPr>
      </w:pPr>
    </w:p>
    <w:p w:rsidR="00314C84" w:rsidRPr="00155D91" w:rsidRDefault="00314C84" w:rsidP="00DB148C">
      <w:pPr>
        <w:jc w:val="both"/>
        <w:rPr>
          <w:rFonts w:ascii="Arial" w:hAnsi="Arial"/>
          <w:sz w:val="22"/>
          <w:lang w:val="en"/>
        </w:rPr>
      </w:pPr>
      <w:r w:rsidRPr="00155D91">
        <w:rPr>
          <w:rFonts w:ascii="Arial" w:hAnsi="Arial"/>
          <w:b/>
          <w:sz w:val="22"/>
          <w:lang w:val="en"/>
        </w:rPr>
        <w:t>“Harvest Lot”</w:t>
      </w:r>
      <w:r w:rsidRPr="00155D91">
        <w:rPr>
          <w:rFonts w:ascii="Arial" w:hAnsi="Arial"/>
          <w:sz w:val="22"/>
          <w:lang w:val="en"/>
        </w:rPr>
        <w:t>:  A collection of bulk shellstock or containers of shellstock from a defined growing area taken by one or more harvesters and removed from the water for delivery to the processing plant on the same day.</w:t>
      </w:r>
    </w:p>
    <w:p w:rsidR="00314C84" w:rsidRPr="00155D91" w:rsidRDefault="00314C84" w:rsidP="00DB148C">
      <w:pPr>
        <w:autoSpaceDE w:val="0"/>
        <w:autoSpaceDN w:val="0"/>
        <w:adjustRightInd w:val="0"/>
        <w:jc w:val="both"/>
        <w:rPr>
          <w:rFonts w:ascii="Arial" w:hAnsi="Arial"/>
          <w:color w:val="000000"/>
          <w:sz w:val="22"/>
        </w:rPr>
      </w:pPr>
    </w:p>
    <w:p w:rsidR="00314C84" w:rsidRPr="00155D91" w:rsidRDefault="00D7565E" w:rsidP="00DB148C">
      <w:pPr>
        <w:jc w:val="both"/>
        <w:rPr>
          <w:rFonts w:ascii="Arial" w:hAnsi="Arial"/>
          <w:sz w:val="22"/>
          <w:lang w:val="en"/>
        </w:rPr>
      </w:pPr>
      <w:r w:rsidRPr="00155D91">
        <w:rPr>
          <w:rFonts w:ascii="Arial" w:hAnsi="Arial"/>
          <w:b/>
          <w:color w:val="000000"/>
          <w:sz w:val="22"/>
        </w:rPr>
        <w:t>“</w:t>
      </w:r>
      <w:r w:rsidR="00314C84" w:rsidRPr="00155D91">
        <w:rPr>
          <w:rFonts w:ascii="Arial" w:hAnsi="Arial"/>
          <w:b/>
          <w:color w:val="000000"/>
          <w:sz w:val="22"/>
        </w:rPr>
        <w:t>Lot of Shellstock</w:t>
      </w:r>
      <w:r w:rsidRPr="00155D91">
        <w:rPr>
          <w:rFonts w:ascii="Arial" w:hAnsi="Arial"/>
          <w:b/>
          <w:color w:val="000000"/>
          <w:sz w:val="22"/>
        </w:rPr>
        <w:t>”</w:t>
      </w:r>
      <w:r w:rsidR="00314C84" w:rsidRPr="00155D91">
        <w:rPr>
          <w:rFonts w:ascii="Arial" w:hAnsi="Arial"/>
          <w:b/>
          <w:color w:val="000000"/>
          <w:sz w:val="22"/>
        </w:rPr>
        <w:t xml:space="preserve"> - </w:t>
      </w:r>
      <w:r w:rsidR="00314C84" w:rsidRPr="00155D91">
        <w:rPr>
          <w:rFonts w:ascii="Arial" w:hAnsi="Arial"/>
          <w:color w:val="000000"/>
          <w:sz w:val="22"/>
        </w:rPr>
        <w:t>A collection of bulk shellstock or containers of shellstock of no more than one day's harvest from a single defined growing area by one or more harvesters.</w:t>
      </w:r>
      <w:r w:rsidR="00314C84" w:rsidRPr="00155D91">
        <w:rPr>
          <w:rFonts w:ascii="Arial" w:hAnsi="Arial"/>
          <w:sz w:val="22"/>
          <w:lang w:val="en"/>
        </w:rPr>
        <w:t xml:space="preserve"> </w:t>
      </w:r>
      <w:r w:rsidR="00314C84" w:rsidRPr="00155D91">
        <w:rPr>
          <w:rStyle w:val="FootnoteReference"/>
          <w:rFonts w:ascii="Arial" w:hAnsi="Arial"/>
          <w:sz w:val="22"/>
          <w:lang w:val="en"/>
        </w:rPr>
        <w:footnoteReference w:id="11"/>
      </w:r>
    </w:p>
    <w:p w:rsidR="00314C84" w:rsidRPr="00155D91" w:rsidRDefault="00314C84" w:rsidP="00DB148C">
      <w:pPr>
        <w:jc w:val="both"/>
        <w:rPr>
          <w:rFonts w:ascii="Arial" w:hAnsi="Arial"/>
          <w:sz w:val="22"/>
        </w:rPr>
      </w:pPr>
    </w:p>
    <w:p w:rsidR="00D7565E" w:rsidRPr="00155D91" w:rsidRDefault="00D7565E" w:rsidP="00DB148C">
      <w:pPr>
        <w:jc w:val="both"/>
        <w:rPr>
          <w:rFonts w:ascii="Arial" w:hAnsi="Arial"/>
          <w:sz w:val="22"/>
        </w:rPr>
      </w:pPr>
      <w:r w:rsidRPr="00155D91">
        <w:rPr>
          <w:rFonts w:ascii="Arial" w:hAnsi="Arial"/>
          <w:sz w:val="22"/>
        </w:rPr>
        <w:t xml:space="preserve">The </w:t>
      </w:r>
      <w:r w:rsidRPr="00155D91">
        <w:rPr>
          <w:rFonts w:ascii="Arial" w:hAnsi="Arial"/>
          <w:b/>
          <w:sz w:val="22"/>
        </w:rPr>
        <w:t>US National Shellfish Sanitation Programme</w:t>
      </w:r>
      <w:r w:rsidR="00A9389F" w:rsidRPr="00155D91">
        <w:rPr>
          <w:rFonts w:ascii="Arial" w:hAnsi="Arial"/>
          <w:b/>
          <w:sz w:val="22"/>
        </w:rPr>
        <w:t xml:space="preserve"> </w:t>
      </w:r>
      <w:r w:rsidR="00A9389F" w:rsidRPr="00155D91">
        <w:rPr>
          <w:rFonts w:ascii="Arial" w:hAnsi="Arial"/>
          <w:sz w:val="22"/>
        </w:rPr>
        <w:t>Guide for the Control of Molluscan Shellfish also utilises similar definitions.</w:t>
      </w:r>
      <w:r w:rsidR="006925E6" w:rsidRPr="00155D91">
        <w:rPr>
          <w:rFonts w:ascii="Arial" w:hAnsi="Arial"/>
          <w:sz w:val="22"/>
        </w:rPr>
        <w:t>as those applicable in Canada</w:t>
      </w:r>
      <w:r w:rsidR="00A9389F" w:rsidRPr="00155D91">
        <w:rPr>
          <w:rStyle w:val="FootnoteReference"/>
          <w:rFonts w:ascii="Arial" w:hAnsi="Arial"/>
          <w:sz w:val="22"/>
        </w:rPr>
        <w:footnoteReference w:id="12"/>
      </w:r>
    </w:p>
    <w:p w:rsidR="00A9389F" w:rsidRPr="00155D91" w:rsidRDefault="00A9389F" w:rsidP="00DB148C">
      <w:pPr>
        <w:jc w:val="both"/>
        <w:rPr>
          <w:rFonts w:ascii="Arial" w:hAnsi="Arial"/>
          <w:sz w:val="22"/>
        </w:rPr>
      </w:pPr>
    </w:p>
    <w:p w:rsidR="00A9389F" w:rsidRPr="00155D91" w:rsidRDefault="00047AC9" w:rsidP="00DB148C">
      <w:pPr>
        <w:jc w:val="both"/>
        <w:rPr>
          <w:rFonts w:ascii="Arial" w:hAnsi="Arial"/>
          <w:color w:val="000000"/>
          <w:sz w:val="22"/>
        </w:rPr>
      </w:pPr>
      <w:r w:rsidRPr="00155D91">
        <w:rPr>
          <w:rFonts w:ascii="Arial" w:hAnsi="Arial"/>
          <w:sz w:val="22"/>
        </w:rPr>
        <w:t>The industry in the UK through Seafish</w:t>
      </w:r>
      <w:r w:rsidR="00EC6DFD" w:rsidRPr="00155D91">
        <w:rPr>
          <w:rFonts w:ascii="Arial" w:hAnsi="Arial"/>
          <w:sz w:val="22"/>
        </w:rPr>
        <w:t xml:space="preserve"> have </w:t>
      </w:r>
      <w:r w:rsidRPr="00155D91">
        <w:rPr>
          <w:rFonts w:ascii="Arial" w:hAnsi="Arial"/>
          <w:sz w:val="22"/>
        </w:rPr>
        <w:t xml:space="preserve">suggested that a </w:t>
      </w:r>
      <w:r w:rsidRPr="00155D91">
        <w:rPr>
          <w:rFonts w:ascii="Arial" w:hAnsi="Arial"/>
          <w:i/>
          <w:sz w:val="22"/>
        </w:rPr>
        <w:t>‘batch’</w:t>
      </w:r>
      <w:r w:rsidR="00A9389F" w:rsidRPr="00155D91">
        <w:rPr>
          <w:rFonts w:ascii="Arial" w:hAnsi="Arial"/>
          <w:i/>
          <w:color w:val="000000"/>
          <w:sz w:val="22"/>
        </w:rPr>
        <w:t xml:space="preserve"> can be a bag, box or bin of shellfish or two days fishing. The decision as to what constitutes a batch can only be taken by the business placing the animals on the market in the light of the operators own risk assessment….</w:t>
      </w:r>
      <w:r w:rsidR="00EC6DFD" w:rsidRPr="00155D91">
        <w:rPr>
          <w:rFonts w:ascii="Arial" w:hAnsi="Arial"/>
          <w:i/>
          <w:color w:val="000000"/>
          <w:sz w:val="22"/>
        </w:rPr>
        <w:t>”</w:t>
      </w:r>
      <w:r w:rsidR="00A9389F" w:rsidRPr="00155D91">
        <w:rPr>
          <w:rStyle w:val="FootnoteReference"/>
          <w:rFonts w:ascii="Arial" w:hAnsi="Arial"/>
          <w:i/>
          <w:color w:val="000000"/>
          <w:sz w:val="22"/>
        </w:rPr>
        <w:footnoteReference w:id="13"/>
      </w:r>
      <w:r w:rsidR="00A9389F" w:rsidRPr="00155D91">
        <w:rPr>
          <w:rFonts w:ascii="Arial" w:hAnsi="Arial"/>
          <w:i/>
          <w:color w:val="000000"/>
          <w:sz w:val="22"/>
        </w:rPr>
        <w:t>.</w:t>
      </w:r>
    </w:p>
    <w:p w:rsidR="00EC6DFD" w:rsidRPr="00155D91" w:rsidRDefault="00EC6DFD" w:rsidP="00DB148C">
      <w:pPr>
        <w:jc w:val="both"/>
        <w:rPr>
          <w:rFonts w:ascii="Arial" w:hAnsi="Arial"/>
          <w:sz w:val="22"/>
        </w:rPr>
      </w:pPr>
    </w:p>
    <w:p w:rsidR="005B3B65" w:rsidRPr="00155D91" w:rsidRDefault="005B3B65" w:rsidP="00DB148C">
      <w:pPr>
        <w:jc w:val="both"/>
        <w:rPr>
          <w:rFonts w:ascii="Arial" w:hAnsi="Arial"/>
          <w:sz w:val="22"/>
        </w:rPr>
      </w:pPr>
      <w:r w:rsidRPr="00155D91">
        <w:rPr>
          <w:rFonts w:ascii="Arial" w:hAnsi="Arial"/>
          <w:sz w:val="22"/>
        </w:rPr>
        <w:t xml:space="preserve">FSS </w:t>
      </w:r>
      <w:r w:rsidR="00047AC9" w:rsidRPr="00155D91">
        <w:rPr>
          <w:rFonts w:ascii="Arial" w:hAnsi="Arial"/>
          <w:sz w:val="22"/>
        </w:rPr>
        <w:t>agrees that batches should be determined by food businesses themselves following their own risk assessment, however given what we know about the rate at which toxins can accumulate in shellfish, FSS proposes the following definition</w:t>
      </w:r>
      <w:r w:rsidR="005D2F6A" w:rsidRPr="00155D91">
        <w:rPr>
          <w:rFonts w:ascii="Arial" w:hAnsi="Arial"/>
          <w:sz w:val="22"/>
        </w:rPr>
        <w:t xml:space="preserve"> could be considered appropriate</w:t>
      </w:r>
      <w:r w:rsidR="00047AC9" w:rsidRPr="00155D91">
        <w:rPr>
          <w:rFonts w:ascii="Arial" w:hAnsi="Arial"/>
          <w:sz w:val="22"/>
        </w:rPr>
        <w:t>:</w:t>
      </w:r>
    </w:p>
    <w:p w:rsidR="003123A5" w:rsidRPr="00155D91" w:rsidRDefault="003123A5" w:rsidP="00DB148C">
      <w:pPr>
        <w:jc w:val="both"/>
        <w:rPr>
          <w:rFonts w:ascii="Arial" w:hAnsi="Arial"/>
          <w:sz w:val="22"/>
        </w:rPr>
      </w:pPr>
    </w:p>
    <w:p w:rsidR="003123A5" w:rsidRPr="00155D91" w:rsidRDefault="00047AC9" w:rsidP="00DB148C">
      <w:pPr>
        <w:jc w:val="both"/>
        <w:rPr>
          <w:rFonts w:ascii="Arial" w:hAnsi="Arial"/>
          <w:sz w:val="22"/>
        </w:rPr>
      </w:pPr>
      <w:bookmarkStart w:id="45" w:name="_Toc461540193"/>
      <w:r w:rsidRPr="00155D91">
        <w:rPr>
          <w:rFonts w:ascii="Arial" w:hAnsi="Arial"/>
          <w:sz w:val="22"/>
        </w:rPr>
        <w:t>“</w:t>
      </w:r>
      <w:r w:rsidR="005B3B65" w:rsidRPr="00155D91">
        <w:rPr>
          <w:rFonts w:ascii="Arial" w:hAnsi="Arial"/>
          <w:b/>
          <w:sz w:val="22"/>
        </w:rPr>
        <w:t>Batch</w:t>
      </w:r>
      <w:r w:rsidRPr="00155D91">
        <w:rPr>
          <w:rFonts w:ascii="Arial" w:hAnsi="Arial"/>
          <w:b/>
          <w:sz w:val="22"/>
        </w:rPr>
        <w:t>”</w:t>
      </w:r>
      <w:r w:rsidR="005B3B65" w:rsidRPr="00155D91">
        <w:rPr>
          <w:rFonts w:ascii="Arial" w:hAnsi="Arial"/>
          <w:b/>
          <w:sz w:val="22"/>
        </w:rPr>
        <w:t xml:space="preserve">:  </w:t>
      </w:r>
      <w:r w:rsidR="00EC6DFD" w:rsidRPr="00155D91">
        <w:rPr>
          <w:rFonts w:ascii="Arial" w:hAnsi="Arial"/>
          <w:b/>
          <w:sz w:val="22"/>
        </w:rPr>
        <w:t xml:space="preserve"> </w:t>
      </w:r>
      <w:r w:rsidRPr="00155D91">
        <w:rPr>
          <w:rFonts w:ascii="Arial" w:hAnsi="Arial"/>
          <w:b/>
          <w:sz w:val="22"/>
        </w:rPr>
        <w:t>means a quantity of bivalve molluscs harvested from a particular harvesting area with the same harvest date</w:t>
      </w:r>
      <w:r w:rsidRPr="00155D91">
        <w:rPr>
          <w:rFonts w:ascii="Arial" w:hAnsi="Arial"/>
          <w:sz w:val="22"/>
        </w:rPr>
        <w:t>.”</w:t>
      </w:r>
      <w:r w:rsidR="005F5DD9" w:rsidRPr="00155D91">
        <w:rPr>
          <w:rFonts w:ascii="Arial" w:hAnsi="Arial"/>
          <w:sz w:val="22"/>
        </w:rPr>
        <w:t xml:space="preserve">  In determining a batch, an “area” should be considered to be no bigger than an offshore box as outline in Annex D.</w:t>
      </w:r>
    </w:p>
    <w:p w:rsidR="003123A5" w:rsidRPr="00093884" w:rsidRDefault="003123A5" w:rsidP="003123A5">
      <w:pPr>
        <w:rPr>
          <w:sz w:val="16"/>
        </w:rPr>
      </w:pPr>
      <w:r w:rsidRPr="00093884">
        <w:rPr>
          <w:sz w:val="16"/>
        </w:rPr>
        <w:br w:type="page"/>
      </w:r>
    </w:p>
    <w:p w:rsidR="0055648F" w:rsidRPr="003123A5" w:rsidRDefault="003123A5" w:rsidP="006925E6">
      <w:pPr>
        <w:pStyle w:val="Heading3"/>
        <w:rPr>
          <w:i/>
          <w:u w:val="none"/>
        </w:rPr>
      </w:pPr>
      <w:bookmarkStart w:id="46" w:name="_Toc462655901"/>
      <w:r>
        <w:t>ANNEX</w:t>
      </w:r>
      <w:r w:rsidR="0055648F">
        <w:t xml:space="preserve"> F:  Detail of Biotoxin closures in French waters</w:t>
      </w:r>
      <w:r w:rsidR="004D4A8C">
        <w:t xml:space="preserve"> and controls applicable to inter-EU trade</w:t>
      </w:r>
      <w:bookmarkEnd w:id="45"/>
      <w:bookmarkEnd w:id="46"/>
    </w:p>
    <w:p w:rsidR="00B23915" w:rsidRDefault="00B23915" w:rsidP="006925E6">
      <w:pPr>
        <w:pStyle w:val="Heading3"/>
      </w:pPr>
    </w:p>
    <w:p w:rsidR="00B23915" w:rsidRPr="008F62C3" w:rsidRDefault="00B23915" w:rsidP="008F62C3">
      <w:pPr>
        <w:spacing w:after="100" w:afterAutospacing="1"/>
        <w:rPr>
          <w:rFonts w:ascii="Arial" w:hAnsi="Arial" w:cs="Arial"/>
          <w:sz w:val="24"/>
          <w:szCs w:val="24"/>
          <w:lang w:val="en"/>
        </w:rPr>
      </w:pPr>
      <w:r w:rsidRPr="008F62C3">
        <w:rPr>
          <w:rFonts w:ascii="Arial" w:hAnsi="Arial" w:cs="Arial"/>
          <w:b/>
          <w:bCs/>
          <w:sz w:val="24"/>
          <w:szCs w:val="24"/>
          <w:lang w:val="en"/>
        </w:rPr>
        <w:t>French Scallop Bed Closures</w:t>
      </w:r>
    </w:p>
    <w:p w:rsidR="004D4A8C" w:rsidRPr="008F62C3" w:rsidRDefault="004D4A8C" w:rsidP="00DB148C">
      <w:pPr>
        <w:spacing w:after="100" w:afterAutospacing="1"/>
        <w:jc w:val="both"/>
        <w:rPr>
          <w:rFonts w:ascii="Arial" w:hAnsi="Arial" w:cs="Arial"/>
          <w:sz w:val="24"/>
          <w:szCs w:val="24"/>
          <w:lang w:val="en"/>
        </w:rPr>
      </w:pPr>
      <w:r w:rsidRPr="008F62C3">
        <w:rPr>
          <w:rFonts w:ascii="Arial" w:hAnsi="Arial" w:cs="Arial"/>
          <w:sz w:val="24"/>
          <w:szCs w:val="24"/>
          <w:lang w:val="en"/>
        </w:rPr>
        <w:t xml:space="preserve">The controls that apply </w:t>
      </w:r>
      <w:r w:rsidR="008B0364">
        <w:rPr>
          <w:rFonts w:ascii="Arial" w:hAnsi="Arial" w:cs="Arial"/>
          <w:sz w:val="24"/>
          <w:szCs w:val="24"/>
          <w:lang w:val="en"/>
        </w:rPr>
        <w:t xml:space="preserve">to scallops harvested </w:t>
      </w:r>
      <w:r w:rsidRPr="008F62C3">
        <w:rPr>
          <w:rFonts w:ascii="Arial" w:hAnsi="Arial" w:cs="Arial"/>
          <w:sz w:val="24"/>
          <w:szCs w:val="24"/>
          <w:lang w:val="en"/>
        </w:rPr>
        <w:t>in UK waters differ from those that apply for example in France and other EU member states.  Unlike the UK, French scallop harvesting areas are classified and monitored and the French authorities will close areas and prohibit harvesting in their scallop beds.  It is up to food businesses to make sure that they are aware of any statutory conditions that apply in any sea area</w:t>
      </w:r>
      <w:r w:rsidR="00FE17AD">
        <w:rPr>
          <w:rFonts w:ascii="Arial" w:hAnsi="Arial" w:cs="Arial"/>
          <w:sz w:val="24"/>
          <w:szCs w:val="24"/>
          <w:lang w:val="en"/>
        </w:rPr>
        <w:t xml:space="preserve"> where they intend to operate</w:t>
      </w:r>
      <w:r w:rsidRPr="008F62C3">
        <w:rPr>
          <w:rFonts w:ascii="Arial" w:hAnsi="Arial" w:cs="Arial"/>
          <w:sz w:val="24"/>
          <w:szCs w:val="24"/>
          <w:lang w:val="en"/>
        </w:rPr>
        <w:t xml:space="preserve">.  </w:t>
      </w:r>
    </w:p>
    <w:p w:rsidR="00B23915" w:rsidRPr="008F62C3" w:rsidRDefault="00B23915" w:rsidP="00DB148C">
      <w:pPr>
        <w:spacing w:after="100" w:afterAutospacing="1"/>
        <w:jc w:val="both"/>
        <w:rPr>
          <w:rFonts w:ascii="Arial" w:hAnsi="Arial" w:cs="Arial"/>
          <w:sz w:val="24"/>
          <w:szCs w:val="24"/>
          <w:lang w:val="en"/>
        </w:rPr>
      </w:pPr>
      <w:r w:rsidRPr="008F62C3">
        <w:rPr>
          <w:rFonts w:ascii="Arial" w:hAnsi="Arial" w:cs="Arial"/>
          <w:sz w:val="24"/>
          <w:szCs w:val="24"/>
          <w:lang w:eastAsia="en-US"/>
        </w:rPr>
        <w:t xml:space="preserve">A new local geoportail is available and shows </w:t>
      </w:r>
      <w:hyperlink r:id="rId33" w:tgtFrame="_blank" w:history="1">
        <w:r w:rsidRPr="008F62C3">
          <w:rPr>
            <w:rFonts w:ascii="Arial" w:hAnsi="Arial" w:cs="Arial"/>
            <w:color w:val="000000"/>
            <w:sz w:val="24"/>
            <w:szCs w:val="24"/>
            <w:u w:val="single"/>
            <w:lang w:eastAsia="en-US"/>
          </w:rPr>
          <w:t xml:space="preserve">open and closed areas in </w:t>
        </w:r>
        <w:proofErr w:type="spellStart"/>
        <w:r w:rsidRPr="008F62C3">
          <w:rPr>
            <w:rFonts w:ascii="Arial" w:hAnsi="Arial" w:cs="Arial"/>
            <w:color w:val="000000"/>
            <w:sz w:val="24"/>
            <w:szCs w:val="24"/>
            <w:u w:val="single"/>
            <w:lang w:eastAsia="en-US"/>
          </w:rPr>
          <w:t>Baie</w:t>
        </w:r>
        <w:proofErr w:type="spellEnd"/>
        <w:r w:rsidRPr="008F62C3">
          <w:rPr>
            <w:rFonts w:ascii="Arial" w:hAnsi="Arial" w:cs="Arial"/>
            <w:color w:val="000000"/>
            <w:sz w:val="24"/>
            <w:szCs w:val="24"/>
            <w:u w:val="single"/>
            <w:lang w:eastAsia="en-US"/>
          </w:rPr>
          <w:t xml:space="preserve"> de Seine</w:t>
        </w:r>
      </w:hyperlink>
      <w:r w:rsidRPr="008F62C3">
        <w:rPr>
          <w:rFonts w:ascii="Arial" w:hAnsi="Arial" w:cs="Arial"/>
          <w:sz w:val="24"/>
          <w:szCs w:val="24"/>
          <w:lang w:eastAsia="en-US"/>
        </w:rPr>
        <w:t>.</w:t>
      </w:r>
    </w:p>
    <w:p w:rsidR="00B23915" w:rsidRPr="008F62C3" w:rsidRDefault="00B23915" w:rsidP="00DB148C">
      <w:pPr>
        <w:spacing w:after="100" w:afterAutospacing="1"/>
        <w:jc w:val="both"/>
        <w:rPr>
          <w:rFonts w:ascii="Arial" w:hAnsi="Arial" w:cs="Arial"/>
          <w:sz w:val="24"/>
          <w:szCs w:val="24"/>
          <w:lang w:val="en"/>
        </w:rPr>
      </w:pPr>
      <w:r w:rsidRPr="008F62C3">
        <w:rPr>
          <w:rFonts w:ascii="Arial" w:hAnsi="Arial" w:cs="Arial"/>
          <w:sz w:val="24"/>
          <w:szCs w:val="24"/>
          <w:lang w:val="en"/>
        </w:rPr>
        <w:t>Information relating to French scallop bed closures in The English Channel.</w:t>
      </w:r>
    </w:p>
    <w:p w:rsidR="00B23915" w:rsidRPr="008F62C3" w:rsidRDefault="00B23915" w:rsidP="00DB148C">
      <w:pPr>
        <w:spacing w:after="100" w:afterAutospacing="1"/>
        <w:jc w:val="both"/>
        <w:rPr>
          <w:rFonts w:ascii="Arial" w:hAnsi="Arial" w:cs="Arial"/>
          <w:sz w:val="24"/>
          <w:szCs w:val="24"/>
          <w:lang w:val="en"/>
        </w:rPr>
      </w:pPr>
      <w:r w:rsidRPr="008F62C3">
        <w:rPr>
          <w:rFonts w:ascii="Arial" w:hAnsi="Arial" w:cs="Arial"/>
          <w:sz w:val="24"/>
          <w:szCs w:val="24"/>
          <w:lang w:val="en"/>
        </w:rPr>
        <w:t>Click to open the following link </w:t>
      </w:r>
      <w:hyperlink r:id="rId34" w:history="1">
        <w:r w:rsidRPr="008F62C3">
          <w:rPr>
            <w:rFonts w:ascii="Arial" w:hAnsi="Arial" w:cs="Arial"/>
            <w:color w:val="000000"/>
            <w:sz w:val="24"/>
            <w:szCs w:val="24"/>
            <w:u w:val="single"/>
            <w:lang w:val="en"/>
          </w:rPr>
          <w:t>http://www.dirm-memn.developpement-durable.gouv.fr/peche-de-la-coquille-...</w:t>
        </w:r>
      </w:hyperlink>
    </w:p>
    <w:p w:rsidR="00B23915" w:rsidRDefault="00B23915" w:rsidP="00DB148C">
      <w:pPr>
        <w:spacing w:after="100" w:afterAutospacing="1"/>
        <w:jc w:val="both"/>
        <w:rPr>
          <w:rFonts w:ascii="Arial" w:hAnsi="Arial" w:cs="Arial"/>
          <w:sz w:val="24"/>
          <w:szCs w:val="24"/>
          <w:lang w:val="en"/>
        </w:rPr>
      </w:pPr>
      <w:r w:rsidRPr="008F62C3">
        <w:rPr>
          <w:rFonts w:ascii="Arial" w:hAnsi="Arial" w:cs="Arial"/>
          <w:sz w:val="24"/>
          <w:szCs w:val="24"/>
          <w:lang w:val="en"/>
        </w:rPr>
        <w:t>Scroll down to open the last link at the bottom of this page which includes a map of open and closed sites. The scallop beds in dark blue are open. Those in grey are closed and must not be fished.</w:t>
      </w:r>
    </w:p>
    <w:p w:rsidR="008B0364" w:rsidRDefault="005D2F6A" w:rsidP="00DB148C">
      <w:pPr>
        <w:spacing w:after="100" w:afterAutospacing="1"/>
        <w:jc w:val="both"/>
        <w:rPr>
          <w:rFonts w:ascii="Arial" w:hAnsi="Arial" w:cs="Arial"/>
          <w:sz w:val="24"/>
          <w:szCs w:val="24"/>
          <w:lang w:val="en"/>
        </w:rPr>
      </w:pPr>
      <w:r>
        <w:rPr>
          <w:rFonts w:ascii="Arial" w:hAnsi="Arial" w:cs="Arial"/>
          <w:sz w:val="24"/>
          <w:szCs w:val="24"/>
          <w:lang w:val="en"/>
        </w:rPr>
        <w:t>Make sure that you use a browser with a</w:t>
      </w:r>
      <w:r w:rsidR="008B0364">
        <w:rPr>
          <w:rFonts w:ascii="Arial" w:hAnsi="Arial" w:cs="Arial"/>
          <w:sz w:val="24"/>
          <w:szCs w:val="24"/>
          <w:lang w:val="en"/>
        </w:rPr>
        <w:t xml:space="preserve"> translation function </w:t>
      </w:r>
      <w:r>
        <w:rPr>
          <w:rFonts w:ascii="Arial" w:hAnsi="Arial" w:cs="Arial"/>
          <w:sz w:val="24"/>
          <w:szCs w:val="24"/>
          <w:lang w:val="en"/>
        </w:rPr>
        <w:t>(for example Google Chrome)</w:t>
      </w:r>
      <w:r w:rsidR="008B0364">
        <w:rPr>
          <w:rFonts w:ascii="Arial" w:hAnsi="Arial" w:cs="Arial"/>
          <w:sz w:val="24"/>
          <w:szCs w:val="24"/>
          <w:lang w:val="en"/>
        </w:rPr>
        <w:t>.</w:t>
      </w:r>
    </w:p>
    <w:p w:rsidR="008B0364" w:rsidRPr="008F62C3" w:rsidRDefault="008B0364" w:rsidP="00DB148C">
      <w:pPr>
        <w:spacing w:after="100" w:afterAutospacing="1"/>
        <w:jc w:val="both"/>
        <w:rPr>
          <w:rFonts w:ascii="Arial" w:hAnsi="Arial" w:cs="Arial"/>
          <w:sz w:val="24"/>
          <w:szCs w:val="24"/>
          <w:lang w:val="en"/>
        </w:rPr>
      </w:pPr>
    </w:p>
    <w:p w:rsidR="00B23915" w:rsidRPr="008F62C3" w:rsidRDefault="00B23915" w:rsidP="00DB148C">
      <w:pPr>
        <w:spacing w:after="100" w:afterAutospacing="1"/>
        <w:jc w:val="both"/>
        <w:rPr>
          <w:rFonts w:ascii="Arial" w:hAnsi="Arial" w:cs="Arial"/>
          <w:sz w:val="24"/>
          <w:szCs w:val="24"/>
          <w:lang w:val="en"/>
        </w:rPr>
      </w:pPr>
      <w:r w:rsidRPr="008F62C3">
        <w:rPr>
          <w:rFonts w:ascii="Arial" w:hAnsi="Arial" w:cs="Arial"/>
          <w:sz w:val="24"/>
          <w:szCs w:val="24"/>
          <w:lang w:val="en"/>
        </w:rPr>
        <w:t>It should be noted that whilst this website is updated regularly</w:t>
      </w:r>
      <w:r w:rsidR="00E9406D" w:rsidRPr="008F62C3">
        <w:rPr>
          <w:rFonts w:ascii="Arial" w:hAnsi="Arial" w:cs="Arial"/>
          <w:sz w:val="24"/>
          <w:szCs w:val="24"/>
          <w:lang w:val="en"/>
        </w:rPr>
        <w:t xml:space="preserve"> industry should check with the relevant French Authorities prior to commencement of fishi</w:t>
      </w:r>
      <w:r w:rsidR="008F62C3">
        <w:rPr>
          <w:rFonts w:ascii="Arial" w:hAnsi="Arial" w:cs="Arial"/>
          <w:sz w:val="24"/>
          <w:szCs w:val="24"/>
          <w:lang w:val="en"/>
        </w:rPr>
        <w:t>ng activities.</w:t>
      </w:r>
      <w:r w:rsidR="008B0364">
        <w:rPr>
          <w:rFonts w:ascii="Arial" w:hAnsi="Arial" w:cs="Arial"/>
          <w:sz w:val="24"/>
          <w:szCs w:val="24"/>
          <w:lang w:val="en"/>
        </w:rPr>
        <w:t xml:space="preserve">  Any harvesting restriction which </w:t>
      </w:r>
      <w:r w:rsidR="008B0364" w:rsidRPr="00EF3994">
        <w:rPr>
          <w:rFonts w:ascii="Arial" w:hAnsi="Arial" w:cs="Arial"/>
          <w:sz w:val="24"/>
          <w:szCs w:val="24"/>
          <w:u w:val="single"/>
          <w:lang w:val="en"/>
        </w:rPr>
        <w:t>any</w:t>
      </w:r>
      <w:r w:rsidR="008B0364">
        <w:rPr>
          <w:rFonts w:ascii="Arial" w:hAnsi="Arial" w:cs="Arial"/>
          <w:sz w:val="24"/>
          <w:szCs w:val="24"/>
          <w:lang w:val="en"/>
        </w:rPr>
        <w:t xml:space="preserve"> competent authority has placed on any area of water </w:t>
      </w:r>
      <w:r w:rsidR="008B0364" w:rsidRPr="00EF3994">
        <w:rPr>
          <w:rFonts w:ascii="Arial" w:hAnsi="Arial" w:cs="Arial"/>
          <w:sz w:val="24"/>
          <w:szCs w:val="24"/>
          <w:u w:val="single"/>
          <w:lang w:val="en"/>
        </w:rPr>
        <w:t xml:space="preserve">must </w:t>
      </w:r>
      <w:r w:rsidR="008B0364">
        <w:rPr>
          <w:rFonts w:ascii="Arial" w:hAnsi="Arial" w:cs="Arial"/>
          <w:sz w:val="24"/>
          <w:szCs w:val="24"/>
          <w:lang w:val="en"/>
        </w:rPr>
        <w:t>be adhered to.</w:t>
      </w:r>
    </w:p>
    <w:p w:rsidR="004D4A8C" w:rsidRPr="008F62C3" w:rsidRDefault="004D4A8C" w:rsidP="00DB148C">
      <w:pPr>
        <w:jc w:val="both"/>
        <w:rPr>
          <w:rFonts w:ascii="Arial" w:hAnsi="Arial" w:cs="Arial"/>
          <w:sz w:val="24"/>
          <w:szCs w:val="24"/>
        </w:rPr>
      </w:pPr>
    </w:p>
    <w:p w:rsidR="004D4A8C" w:rsidRPr="008F62C3" w:rsidRDefault="004D4A8C" w:rsidP="00DB148C">
      <w:pPr>
        <w:jc w:val="both"/>
        <w:rPr>
          <w:rFonts w:ascii="Arial" w:hAnsi="Arial" w:cs="Arial"/>
          <w:sz w:val="24"/>
          <w:szCs w:val="24"/>
          <w:u w:val="single"/>
        </w:rPr>
      </w:pPr>
      <w:r w:rsidRPr="008F62C3">
        <w:rPr>
          <w:rFonts w:ascii="Arial" w:hAnsi="Arial" w:cs="Arial"/>
          <w:sz w:val="24"/>
          <w:szCs w:val="24"/>
          <w:u w:val="single"/>
        </w:rPr>
        <w:t>Intra-EU trade</w:t>
      </w:r>
    </w:p>
    <w:p w:rsidR="008F62C3" w:rsidRDefault="004D4A8C" w:rsidP="00DB148C">
      <w:pPr>
        <w:jc w:val="both"/>
        <w:rPr>
          <w:rFonts w:ascii="Arial" w:hAnsi="Arial" w:cs="Arial"/>
          <w:sz w:val="24"/>
          <w:szCs w:val="24"/>
        </w:rPr>
      </w:pPr>
      <w:r w:rsidRPr="008F62C3">
        <w:rPr>
          <w:rFonts w:ascii="Arial" w:hAnsi="Arial" w:cs="Arial"/>
          <w:sz w:val="24"/>
          <w:szCs w:val="24"/>
        </w:rPr>
        <w:t>LBM species must be compliant with health standards set out in law at the point those products are ‘placed on the market’.  The UK has interpreted</w:t>
      </w:r>
      <w:r w:rsidR="00C12FB3" w:rsidRPr="008F62C3">
        <w:rPr>
          <w:rFonts w:ascii="Arial" w:hAnsi="Arial" w:cs="Arial"/>
          <w:sz w:val="24"/>
          <w:szCs w:val="24"/>
        </w:rPr>
        <w:t xml:space="preserve"> </w:t>
      </w:r>
      <w:r w:rsidR="000D1830">
        <w:rPr>
          <w:rFonts w:ascii="Arial" w:hAnsi="Arial" w:cs="Arial"/>
          <w:sz w:val="24"/>
          <w:szCs w:val="24"/>
        </w:rPr>
        <w:t xml:space="preserve">the </w:t>
      </w:r>
      <w:r w:rsidR="00C12FB3" w:rsidRPr="008F62C3">
        <w:rPr>
          <w:rFonts w:ascii="Arial" w:hAnsi="Arial" w:cs="Arial"/>
          <w:sz w:val="24"/>
          <w:szCs w:val="24"/>
        </w:rPr>
        <w:t>point at which scallops are</w:t>
      </w:r>
      <w:r w:rsidRPr="008F62C3">
        <w:rPr>
          <w:rFonts w:ascii="Arial" w:hAnsi="Arial" w:cs="Arial"/>
          <w:sz w:val="24"/>
          <w:szCs w:val="24"/>
        </w:rPr>
        <w:t xml:space="preserve"> </w:t>
      </w:r>
      <w:r w:rsidR="00C12FB3" w:rsidRPr="008F62C3">
        <w:rPr>
          <w:rFonts w:ascii="Arial" w:hAnsi="Arial" w:cs="Arial"/>
          <w:sz w:val="24"/>
          <w:szCs w:val="24"/>
        </w:rPr>
        <w:t xml:space="preserve">placed on the market, other than for primary producers involved in direct sale to the final consumer’ to refer to </w:t>
      </w:r>
      <w:r w:rsidR="008F62C3">
        <w:rPr>
          <w:rFonts w:ascii="Arial" w:hAnsi="Arial" w:cs="Arial"/>
          <w:sz w:val="24"/>
          <w:szCs w:val="24"/>
        </w:rPr>
        <w:t>product sold from any</w:t>
      </w:r>
      <w:r w:rsidR="00C12FB3" w:rsidRPr="008F62C3">
        <w:rPr>
          <w:rFonts w:ascii="Arial" w:hAnsi="Arial" w:cs="Arial"/>
          <w:sz w:val="24"/>
          <w:szCs w:val="24"/>
        </w:rPr>
        <w:t xml:space="preserve"> approved establishment.</w:t>
      </w:r>
      <w:r w:rsidR="008F62C3">
        <w:rPr>
          <w:rFonts w:ascii="Arial" w:hAnsi="Arial" w:cs="Arial"/>
          <w:sz w:val="24"/>
          <w:szCs w:val="24"/>
        </w:rPr>
        <w:t xml:space="preserve">  </w:t>
      </w:r>
      <w:r w:rsidR="00C12FB3" w:rsidRPr="008F62C3">
        <w:rPr>
          <w:rFonts w:ascii="Arial" w:hAnsi="Arial" w:cs="Arial"/>
          <w:sz w:val="24"/>
          <w:szCs w:val="24"/>
        </w:rPr>
        <w:t xml:space="preserve">  </w:t>
      </w:r>
    </w:p>
    <w:p w:rsidR="008F62C3" w:rsidRPr="008F62C3" w:rsidRDefault="008F62C3" w:rsidP="00DB148C">
      <w:pPr>
        <w:jc w:val="both"/>
        <w:rPr>
          <w:rFonts w:ascii="Arial" w:hAnsi="Arial" w:cs="Arial"/>
          <w:sz w:val="24"/>
          <w:szCs w:val="24"/>
        </w:rPr>
      </w:pPr>
    </w:p>
    <w:p w:rsidR="004D4A8C" w:rsidRPr="008F62C3" w:rsidRDefault="008F62C3" w:rsidP="00DB148C">
      <w:pPr>
        <w:jc w:val="both"/>
        <w:rPr>
          <w:rFonts w:ascii="Arial" w:hAnsi="Arial" w:cs="Arial"/>
          <w:sz w:val="24"/>
          <w:szCs w:val="24"/>
        </w:rPr>
      </w:pPr>
      <w:r>
        <w:rPr>
          <w:rFonts w:ascii="Arial" w:hAnsi="Arial" w:cs="Arial"/>
          <w:sz w:val="24"/>
          <w:szCs w:val="24"/>
        </w:rPr>
        <w:t>G</w:t>
      </w:r>
      <w:r w:rsidR="00C12FB3" w:rsidRPr="008F62C3">
        <w:rPr>
          <w:rFonts w:ascii="Arial" w:hAnsi="Arial" w:cs="Arial"/>
          <w:sz w:val="24"/>
          <w:szCs w:val="24"/>
        </w:rPr>
        <w:t>iven that shucking can only take place in establishments approved for that activity</w:t>
      </w:r>
      <w:r>
        <w:rPr>
          <w:rFonts w:ascii="Arial" w:hAnsi="Arial" w:cs="Arial"/>
          <w:sz w:val="24"/>
          <w:szCs w:val="24"/>
        </w:rPr>
        <w:t>,</w:t>
      </w:r>
      <w:r w:rsidR="00C12FB3" w:rsidRPr="008F62C3">
        <w:rPr>
          <w:rFonts w:ascii="Arial" w:hAnsi="Arial" w:cs="Arial"/>
          <w:sz w:val="24"/>
          <w:szCs w:val="24"/>
        </w:rPr>
        <w:t xml:space="preserve"> harvester</w:t>
      </w:r>
      <w:r>
        <w:rPr>
          <w:rFonts w:ascii="Arial" w:hAnsi="Arial" w:cs="Arial"/>
          <w:sz w:val="24"/>
          <w:szCs w:val="24"/>
        </w:rPr>
        <w:t>s</w:t>
      </w:r>
      <w:r w:rsidR="00C12FB3" w:rsidRPr="008F62C3">
        <w:rPr>
          <w:rFonts w:ascii="Arial" w:hAnsi="Arial" w:cs="Arial"/>
          <w:sz w:val="24"/>
          <w:szCs w:val="24"/>
        </w:rPr>
        <w:t xml:space="preserve"> have an obligation to ensure that the risks associated with their product are fully communicated to receiving establishments</w:t>
      </w:r>
      <w:r>
        <w:rPr>
          <w:rFonts w:ascii="Arial" w:hAnsi="Arial" w:cs="Arial"/>
          <w:sz w:val="24"/>
          <w:szCs w:val="24"/>
        </w:rPr>
        <w:t xml:space="preserve"> in order that they can take all reasonable measure to ensure product safety</w:t>
      </w:r>
      <w:r w:rsidR="0051164B">
        <w:rPr>
          <w:rFonts w:ascii="Arial" w:hAnsi="Arial" w:cs="Arial"/>
          <w:sz w:val="24"/>
          <w:szCs w:val="24"/>
        </w:rPr>
        <w:t xml:space="preserve">. </w:t>
      </w:r>
    </w:p>
    <w:p w:rsidR="00C12FB3" w:rsidRPr="008F62C3" w:rsidRDefault="00C12FB3" w:rsidP="00DB148C">
      <w:pPr>
        <w:jc w:val="both"/>
        <w:rPr>
          <w:rFonts w:ascii="Arial" w:hAnsi="Arial" w:cs="Arial"/>
          <w:sz w:val="24"/>
          <w:szCs w:val="24"/>
        </w:rPr>
      </w:pPr>
    </w:p>
    <w:p w:rsidR="00C12FB3" w:rsidRDefault="00C12FB3" w:rsidP="00DB148C">
      <w:pPr>
        <w:jc w:val="both"/>
        <w:rPr>
          <w:rFonts w:ascii="Arial" w:hAnsi="Arial" w:cs="Arial"/>
          <w:sz w:val="24"/>
          <w:szCs w:val="24"/>
        </w:rPr>
      </w:pPr>
      <w:r w:rsidRPr="008F62C3">
        <w:rPr>
          <w:rFonts w:ascii="Arial" w:hAnsi="Arial" w:cs="Arial"/>
          <w:sz w:val="24"/>
          <w:szCs w:val="24"/>
        </w:rPr>
        <w:t xml:space="preserve">The registration documentary requirement </w:t>
      </w:r>
      <w:r w:rsidR="008F62C3" w:rsidRPr="008F62C3">
        <w:rPr>
          <w:rFonts w:ascii="Arial" w:hAnsi="Arial" w:cs="Arial"/>
          <w:sz w:val="24"/>
          <w:szCs w:val="24"/>
        </w:rPr>
        <w:t>sets out the minimum amount of information that must accompany each batch from harvester/fisherman t</w:t>
      </w:r>
      <w:r w:rsidR="000D1830">
        <w:rPr>
          <w:rFonts w:ascii="Arial" w:hAnsi="Arial" w:cs="Arial"/>
          <w:sz w:val="24"/>
          <w:szCs w:val="24"/>
        </w:rPr>
        <w:t xml:space="preserve">o approved establishment – and </w:t>
      </w:r>
      <w:r w:rsidR="008F62C3" w:rsidRPr="008F62C3">
        <w:rPr>
          <w:rFonts w:ascii="Arial" w:hAnsi="Arial" w:cs="Arial"/>
          <w:sz w:val="24"/>
          <w:szCs w:val="24"/>
        </w:rPr>
        <w:t>includes a requirement to provide information on the destination of the batch</w:t>
      </w:r>
      <w:r w:rsidR="0051164B">
        <w:rPr>
          <w:rFonts w:ascii="Arial" w:hAnsi="Arial" w:cs="Arial"/>
          <w:sz w:val="24"/>
          <w:szCs w:val="24"/>
        </w:rPr>
        <w:t xml:space="preserve"> as well as information on the health status of the production area</w:t>
      </w:r>
      <w:r w:rsidR="008F62C3" w:rsidRPr="008F62C3">
        <w:rPr>
          <w:rFonts w:ascii="Arial" w:hAnsi="Arial" w:cs="Arial"/>
          <w:sz w:val="24"/>
          <w:szCs w:val="24"/>
        </w:rPr>
        <w:t xml:space="preserve">.  If whole product is sent to an establishment that is </w:t>
      </w:r>
      <w:r w:rsidR="008F62C3" w:rsidRPr="008F62C3">
        <w:rPr>
          <w:rFonts w:ascii="Arial" w:hAnsi="Arial" w:cs="Arial"/>
          <w:sz w:val="24"/>
          <w:szCs w:val="24"/>
          <w:u w:val="single"/>
        </w:rPr>
        <w:t>not</w:t>
      </w:r>
      <w:r w:rsidR="008F62C3" w:rsidRPr="008F62C3">
        <w:rPr>
          <w:rFonts w:ascii="Arial" w:hAnsi="Arial" w:cs="Arial"/>
          <w:sz w:val="24"/>
          <w:szCs w:val="24"/>
        </w:rPr>
        <w:t xml:space="preserve"> approved to process</w:t>
      </w:r>
      <w:r w:rsidR="008F62C3">
        <w:rPr>
          <w:rFonts w:ascii="Arial" w:hAnsi="Arial" w:cs="Arial"/>
          <w:sz w:val="24"/>
          <w:szCs w:val="24"/>
        </w:rPr>
        <w:t>/shuck</w:t>
      </w:r>
      <w:r w:rsidR="008F62C3" w:rsidRPr="008F62C3">
        <w:rPr>
          <w:rFonts w:ascii="Arial" w:hAnsi="Arial" w:cs="Arial"/>
          <w:sz w:val="24"/>
          <w:szCs w:val="24"/>
        </w:rPr>
        <w:t xml:space="preserve"> scallops </w:t>
      </w:r>
      <w:r w:rsidR="008F62C3">
        <w:rPr>
          <w:rFonts w:ascii="Arial" w:hAnsi="Arial" w:cs="Arial"/>
          <w:sz w:val="24"/>
          <w:szCs w:val="24"/>
        </w:rPr>
        <w:t>then there is a significant risk that the product may be subject to recall unless either confirmatory testing on whole product takes place.</w:t>
      </w:r>
    </w:p>
    <w:p w:rsidR="0051164B" w:rsidRDefault="0051164B" w:rsidP="00DB148C">
      <w:pPr>
        <w:jc w:val="both"/>
        <w:rPr>
          <w:rFonts w:ascii="Arial" w:hAnsi="Arial" w:cs="Arial"/>
          <w:sz w:val="24"/>
          <w:szCs w:val="24"/>
        </w:rPr>
      </w:pPr>
    </w:p>
    <w:p w:rsidR="0051164B" w:rsidRPr="008F62C3" w:rsidRDefault="0051164B" w:rsidP="00DB148C">
      <w:pPr>
        <w:jc w:val="both"/>
        <w:rPr>
          <w:rFonts w:ascii="Arial" w:hAnsi="Arial" w:cs="Arial"/>
          <w:sz w:val="24"/>
          <w:szCs w:val="24"/>
        </w:rPr>
      </w:pPr>
      <w:r>
        <w:rPr>
          <w:rFonts w:ascii="Arial" w:hAnsi="Arial" w:cs="Arial"/>
          <w:sz w:val="24"/>
          <w:szCs w:val="24"/>
        </w:rPr>
        <w:t>Harvesters that either do not carry out testing or do not clearly communicate the risks associated with their product to receiving establishments risk costly recalls and potentially put public health at risk.</w:t>
      </w:r>
    </w:p>
    <w:p w:rsidR="006925E6" w:rsidRDefault="006925E6" w:rsidP="00DB148C">
      <w:pPr>
        <w:pStyle w:val="Heading3"/>
        <w:jc w:val="both"/>
      </w:pPr>
      <w:r w:rsidRPr="008F62C3">
        <w:rPr>
          <w:rFonts w:cs="Arial"/>
          <w:szCs w:val="24"/>
        </w:rPr>
        <w:br w:type="page"/>
      </w:r>
      <w:bookmarkStart w:id="47" w:name="_Toc462655902"/>
      <w:r>
        <w:lastRenderedPageBreak/>
        <w:t>A</w:t>
      </w:r>
      <w:r w:rsidR="003123A5">
        <w:t>NNEX</w:t>
      </w:r>
      <w:r>
        <w:t xml:space="preserve"> G:  Guidance for the production of scallops on the national market.</w:t>
      </w:r>
      <w:r w:rsidR="004A3F0B">
        <w:t xml:space="preserve">  Model framework:</w:t>
      </w:r>
      <w:bookmarkEnd w:id="47"/>
    </w:p>
    <w:p w:rsidR="006925E6" w:rsidRDefault="006925E6" w:rsidP="006925E6"/>
    <w:p w:rsidR="004A3F0B" w:rsidRPr="003748BB" w:rsidRDefault="004A3F0B" w:rsidP="00DB148C">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rsidRPr="004A3F0B">
        <w:rPr>
          <w:rFonts w:cs="Arial"/>
          <w:color w:val="000000"/>
          <w:szCs w:val="24"/>
          <w:lang w:eastAsia="en-GB"/>
        </w:rPr>
        <w:t>The suggested scope of the exemptions from the requirements for approval under Regulation 853/2004 fall into three categories of which the ‘primary production’ exemption is most relevant to shellfish.  Article 1(3)(c) of EC Regulation 853/2004 exempts:</w:t>
      </w:r>
    </w:p>
    <w:p w:rsidR="004A3F0B" w:rsidRPr="003748BB" w:rsidRDefault="004A3F0B" w:rsidP="00DB148C">
      <w:pPr>
        <w:pStyle w:val="ListParagraph"/>
        <w:ind w:left="576"/>
      </w:pPr>
    </w:p>
    <w:p w:rsidR="004A3F0B" w:rsidRPr="003748BB" w:rsidRDefault="004A3F0B" w:rsidP="00DB148C">
      <w:pPr>
        <w:pStyle w:val="ListParagraph"/>
        <w:pBdr>
          <w:top w:val="single" w:sz="4" w:space="1" w:color="auto"/>
          <w:left w:val="single" w:sz="4" w:space="4" w:color="auto"/>
          <w:bottom w:val="single" w:sz="4" w:space="1" w:color="auto"/>
          <w:right w:val="single" w:sz="4" w:space="4" w:color="auto"/>
        </w:pBdr>
        <w:ind w:left="576"/>
        <w:rPr>
          <w:i/>
        </w:rPr>
      </w:pPr>
      <w:r w:rsidRPr="003748BB">
        <w:rPr>
          <w:i/>
        </w:rPr>
        <w:t>“the direct supply, by the producer, of small quantities of primary products to the final consumer or to local retail establishments directly supplying the final consumer”</w:t>
      </w:r>
    </w:p>
    <w:p w:rsidR="004A3F0B" w:rsidRPr="003748BB" w:rsidRDefault="004A3F0B" w:rsidP="00DB148C">
      <w:pPr>
        <w:pStyle w:val="ListParagraph"/>
        <w:ind w:left="576"/>
      </w:pPr>
    </w:p>
    <w:p w:rsidR="004A3F0B" w:rsidRDefault="004A3F0B" w:rsidP="00DB148C">
      <w:pPr>
        <w:pStyle w:val="ListParagraph"/>
        <w:ind w:left="576"/>
      </w:pPr>
      <w:r w:rsidRPr="003748BB">
        <w:rPr>
          <w:b/>
          <w:i/>
        </w:rPr>
        <w:t>Definition of ‘Small quantities’</w:t>
      </w:r>
    </w:p>
    <w:p w:rsidR="00B7171B" w:rsidRDefault="004A3F0B" w:rsidP="00DB148C">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rsidRPr="003748BB">
        <w:t xml:space="preserve">The </w:t>
      </w:r>
      <w:hyperlink r:id="rId35" w:history="1">
        <w:r w:rsidRPr="003748BB">
          <w:rPr>
            <w:rStyle w:val="Hyperlink"/>
          </w:rPr>
          <w:t>Food Law Code of Practice, Practice Guidance for Scotland</w:t>
        </w:r>
      </w:hyperlink>
      <w:r w:rsidRPr="003748BB">
        <w:t xml:space="preserve"> </w:t>
      </w:r>
      <w:r w:rsidR="00B724D4">
        <w:t>(</w:t>
      </w:r>
      <w:proofErr w:type="spellStart"/>
      <w:r w:rsidR="00B724D4">
        <w:t>FLCoP</w:t>
      </w:r>
      <w:proofErr w:type="spellEnd"/>
      <w:r w:rsidR="00B724D4">
        <w:t xml:space="preserve"> PG) </w:t>
      </w:r>
      <w:r w:rsidRPr="003748BB">
        <w:t xml:space="preserve">outlines the details of the local market exemption and the expected </w:t>
      </w:r>
      <w:r w:rsidR="00B724D4">
        <w:t>parameters in which it operates.  Given that the risks associated with both king and queen scallops can be managed in similar ways, it is proposed that</w:t>
      </w:r>
      <w:r w:rsidR="00B7171B">
        <w:t>:</w:t>
      </w:r>
      <w:r w:rsidR="00B724D4">
        <w:t xml:space="preserve"> </w:t>
      </w:r>
    </w:p>
    <w:p w:rsidR="00B7171B" w:rsidRDefault="00B7171B" w:rsidP="00DB148C">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B724D4" w:rsidRPr="00B7171B" w:rsidRDefault="00B7171B" w:rsidP="00DB148C">
      <w:pPr>
        <w:pStyle w:val="ListParagraph"/>
        <w:pBdr>
          <w:top w:val="single" w:sz="4" w:space="1" w:color="auto"/>
          <w:left w:val="single" w:sz="4" w:space="4" w:color="auto"/>
          <w:bottom w:val="single" w:sz="4" w:space="1" w:color="auto"/>
          <w:right w:val="single" w:sz="4" w:space="4" w:color="auto"/>
        </w:pBd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rPr>
          <w:b/>
        </w:rPr>
      </w:pPr>
      <w:r w:rsidRPr="00B7171B">
        <w:rPr>
          <w:b/>
        </w:rPr>
        <w:t>T</w:t>
      </w:r>
      <w:r w:rsidR="00B724D4" w:rsidRPr="00B7171B">
        <w:rPr>
          <w:b/>
        </w:rPr>
        <w:t xml:space="preserve">he current limit for King Scallops (5 tonnes) be raised to match the current limit for Queen Scallops (10 tonnes).  </w:t>
      </w:r>
    </w:p>
    <w:p w:rsidR="00B724D4" w:rsidRDefault="00B724D4" w:rsidP="00DB148C">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B724D4" w:rsidRDefault="00B724D4" w:rsidP="00DB148C">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4A3F0B" w:rsidRDefault="00B724D4" w:rsidP="00DB148C">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 xml:space="preserve">The following section therefore amends </w:t>
      </w:r>
      <w:r w:rsidR="00B7171B">
        <w:t>the relevant s</w:t>
      </w:r>
      <w:r w:rsidRPr="00B724D4">
        <w:t xml:space="preserve">ection </w:t>
      </w:r>
      <w:proofErr w:type="spellStart"/>
      <w:r w:rsidRPr="00B724D4">
        <w:t>A.4.3</w:t>
      </w:r>
      <w:proofErr w:type="spellEnd"/>
      <w:r>
        <w:t xml:space="preserve"> of the </w:t>
      </w:r>
      <w:proofErr w:type="spellStart"/>
      <w:r>
        <w:t>FLCoP</w:t>
      </w:r>
      <w:proofErr w:type="spellEnd"/>
      <w:r>
        <w:t xml:space="preserve"> PG document as follows:</w:t>
      </w:r>
    </w:p>
    <w:p w:rsidR="00CA676B" w:rsidRDefault="00CA676B" w:rsidP="00DB148C">
      <w:pPr>
        <w:pStyle w:val="ListParagraph"/>
        <w:ind w:left="576"/>
        <w:rPr>
          <w:i/>
        </w:rPr>
      </w:pPr>
    </w:p>
    <w:p w:rsidR="004A3F0B" w:rsidRPr="003748BB" w:rsidRDefault="00B724D4" w:rsidP="00DB148C">
      <w:pPr>
        <w:pStyle w:val="ListParagraph"/>
        <w:ind w:left="576"/>
        <w:rPr>
          <w:i/>
        </w:rPr>
      </w:pPr>
      <w:r>
        <w:rPr>
          <w:i/>
        </w:rPr>
        <w:t>“</w:t>
      </w:r>
      <w:r w:rsidR="004A3F0B" w:rsidRPr="003748BB">
        <w:rPr>
          <w:i/>
        </w:rPr>
        <w:t xml:space="preserve">For live bivalve molluscs; a small amount is a total amount of not more than 25 tonnes of fishery products in a calendar year. The total amount may be made up of any species, with the exception that the total amount shall not exceed the maximum amount for the following species: </w:t>
      </w:r>
    </w:p>
    <w:p w:rsidR="004A3F0B" w:rsidRDefault="004A3F0B" w:rsidP="004A3F0B">
      <w:pPr>
        <w:pStyle w:val="ListParagraph"/>
        <w:ind w:left="576"/>
        <w:jc w:val="left"/>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3"/>
        <w:gridCol w:w="3402"/>
      </w:tblGrid>
      <w:tr w:rsidR="004A3F0B" w:rsidRPr="003748BB" w:rsidTr="00E82D0F">
        <w:trPr>
          <w:trHeight w:val="112"/>
        </w:trPr>
        <w:tc>
          <w:tcPr>
            <w:tcW w:w="5163" w:type="dxa"/>
          </w:tcPr>
          <w:p w:rsidR="004A3F0B" w:rsidRPr="003748BB"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3748BB">
              <w:rPr>
                <w:b/>
                <w:bCs/>
              </w:rPr>
              <w:t>Allowances for small quantiti</w:t>
            </w:r>
            <w:r w:rsidR="00B724D4">
              <w:rPr>
                <w:b/>
                <w:bCs/>
              </w:rPr>
              <w:t xml:space="preserve">es of live bivalve molluscs </w:t>
            </w:r>
          </w:p>
        </w:tc>
        <w:tc>
          <w:tcPr>
            <w:tcW w:w="3402" w:type="dxa"/>
          </w:tcPr>
          <w:p w:rsidR="004A3F0B" w:rsidRPr="003748BB" w:rsidRDefault="004A3F0B" w:rsidP="00B724D4">
            <w:pPr>
              <w:tabs>
                <w:tab w:val="left" w:pos="720"/>
                <w:tab w:val="left" w:pos="1440"/>
                <w:tab w:val="left" w:pos="2160"/>
                <w:tab w:val="left" w:pos="2880"/>
                <w:tab w:val="left" w:pos="4680"/>
                <w:tab w:val="left" w:pos="5400"/>
                <w:tab w:val="right" w:pos="9000"/>
              </w:tabs>
              <w:spacing w:line="240" w:lineRule="atLeast"/>
              <w:ind w:left="576"/>
              <w:contextualSpacing/>
            </w:pPr>
          </w:p>
        </w:tc>
      </w:tr>
      <w:tr w:rsidR="004A3F0B" w:rsidRPr="003748BB" w:rsidTr="00E82D0F">
        <w:trPr>
          <w:trHeight w:val="112"/>
        </w:trPr>
        <w:tc>
          <w:tcPr>
            <w:tcW w:w="5163" w:type="dxa"/>
          </w:tcPr>
          <w:p w:rsidR="004A3F0B" w:rsidRPr="003748BB"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3748BB">
              <w:rPr>
                <w:b/>
                <w:bCs/>
              </w:rPr>
              <w:t xml:space="preserve">Species </w:t>
            </w:r>
          </w:p>
        </w:tc>
        <w:tc>
          <w:tcPr>
            <w:tcW w:w="3402" w:type="dxa"/>
          </w:tcPr>
          <w:p w:rsidR="004A3F0B" w:rsidRPr="003748BB"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3748BB">
              <w:rPr>
                <w:b/>
                <w:bCs/>
              </w:rPr>
              <w:t xml:space="preserve">Maximum amount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Cockles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25.0 tonnes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Oysters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5.0 tonnes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rPr>
                <w:b/>
                <w:sz w:val="24"/>
              </w:rPr>
            </w:pPr>
            <w:r w:rsidRPr="00B724D4">
              <w:rPr>
                <w:b/>
                <w:sz w:val="24"/>
              </w:rPr>
              <w:t xml:space="preserve">King Scallops </w:t>
            </w:r>
          </w:p>
        </w:tc>
        <w:tc>
          <w:tcPr>
            <w:tcW w:w="3402" w:type="dxa"/>
          </w:tcPr>
          <w:p w:rsidR="004A3F0B" w:rsidRPr="00B724D4" w:rsidRDefault="00B724D4"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rPr>
                <w:b/>
                <w:sz w:val="24"/>
              </w:rPr>
            </w:pPr>
            <w:r w:rsidRPr="00B724D4">
              <w:rPr>
                <w:b/>
                <w:sz w:val="24"/>
              </w:rPr>
              <w:t>10.00</w:t>
            </w:r>
            <w:r w:rsidR="004A3F0B" w:rsidRPr="00B724D4">
              <w:rPr>
                <w:b/>
                <w:sz w:val="24"/>
              </w:rPr>
              <w:t xml:space="preserve"> </w:t>
            </w:r>
            <w:r w:rsidR="0051164B">
              <w:rPr>
                <w:b/>
                <w:sz w:val="24"/>
              </w:rPr>
              <w:t>tonnes</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rPr>
                <w:b/>
                <w:sz w:val="24"/>
              </w:rPr>
            </w:pPr>
            <w:r w:rsidRPr="00B724D4">
              <w:rPr>
                <w:b/>
                <w:sz w:val="24"/>
              </w:rPr>
              <w:t xml:space="preserve">Queen Scallops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rPr>
                <w:b/>
                <w:sz w:val="24"/>
              </w:rPr>
            </w:pPr>
            <w:r w:rsidRPr="00B724D4">
              <w:rPr>
                <w:b/>
                <w:sz w:val="24"/>
              </w:rPr>
              <w:t xml:space="preserve">10.0 tonnes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Mussels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20.0 tonnes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Other Live Bivalve Molluscs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10.0 tonnes </w:t>
            </w:r>
          </w:p>
        </w:tc>
      </w:tr>
      <w:tr w:rsidR="004A3F0B" w:rsidRPr="003748BB" w:rsidTr="00E82D0F">
        <w:trPr>
          <w:trHeight w:val="112"/>
        </w:trPr>
        <w:tc>
          <w:tcPr>
            <w:tcW w:w="5163"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Marine Gastropods </w:t>
            </w:r>
          </w:p>
        </w:tc>
        <w:tc>
          <w:tcPr>
            <w:tcW w:w="3402" w:type="dxa"/>
          </w:tcPr>
          <w:p w:rsidR="004A3F0B" w:rsidRPr="00B724D4" w:rsidRDefault="004A3F0B" w:rsidP="00410BD9">
            <w:pPr>
              <w:numPr>
                <w:ilvl w:val="0"/>
                <w:numId w:val="9"/>
              </w:numPr>
              <w:tabs>
                <w:tab w:val="clear" w:pos="360"/>
                <w:tab w:val="left" w:pos="720"/>
                <w:tab w:val="left" w:pos="1440"/>
                <w:tab w:val="left" w:pos="2160"/>
                <w:tab w:val="left" w:pos="2880"/>
                <w:tab w:val="left" w:pos="4680"/>
                <w:tab w:val="left" w:pos="5400"/>
                <w:tab w:val="right" w:pos="9000"/>
              </w:tabs>
              <w:spacing w:line="240" w:lineRule="atLeast"/>
              <w:ind w:left="576" w:firstLine="0"/>
              <w:contextualSpacing/>
            </w:pPr>
            <w:r w:rsidRPr="00B724D4">
              <w:t xml:space="preserve">20.0 tonnes </w:t>
            </w:r>
          </w:p>
        </w:tc>
      </w:tr>
    </w:tbl>
    <w:p w:rsidR="00CA676B" w:rsidRDefault="00CA676B" w:rsidP="004A3F0B">
      <w:pPr>
        <w:pStyle w:val="ListParagraph"/>
        <w:ind w:left="576"/>
        <w:jc w:val="left"/>
        <w:rPr>
          <w:b/>
          <w:i/>
        </w:rPr>
      </w:pPr>
    </w:p>
    <w:p w:rsidR="004A3F0B" w:rsidRPr="00B41092" w:rsidRDefault="00B7171B" w:rsidP="004A3F0B">
      <w:pPr>
        <w:pStyle w:val="ListParagraph"/>
        <w:ind w:left="576"/>
        <w:jc w:val="left"/>
        <w:rPr>
          <w:b/>
          <w:i/>
        </w:rPr>
      </w:pPr>
      <w:r>
        <w:rPr>
          <w:b/>
          <w:i/>
        </w:rPr>
        <w:br w:type="page"/>
      </w:r>
      <w:r w:rsidR="004A3F0B" w:rsidRPr="00B41092">
        <w:rPr>
          <w:b/>
          <w:i/>
        </w:rPr>
        <w:lastRenderedPageBreak/>
        <w:t>Definition of ‘local’</w:t>
      </w:r>
    </w:p>
    <w:p w:rsidR="004A3F0B" w:rsidRDefault="004A3F0B" w:rsidP="00DB148C">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It is proposed that for scallops, in line with existing guidance for the sale of wild game</w:t>
      </w:r>
      <w:r>
        <w:rPr>
          <w:rStyle w:val="FootnoteReference"/>
        </w:rPr>
        <w:footnoteReference w:id="14"/>
      </w:r>
      <w:r>
        <w:t>, the definition of ‘local’ be extended to include the whole of Scotland.</w:t>
      </w:r>
    </w:p>
    <w:p w:rsidR="005D2F6A" w:rsidRDefault="005D2F6A" w:rsidP="005D2F6A">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5D2F6A" w:rsidRPr="00E13AB7" w:rsidRDefault="005D2F6A" w:rsidP="005D2F6A">
      <w:pPr>
        <w:pStyle w:val="ListParagraph"/>
        <w:pBdr>
          <w:top w:val="single" w:sz="4" w:space="1" w:color="auto"/>
          <w:left w:val="single" w:sz="4" w:space="4" w:color="auto"/>
          <w:bottom w:val="single" w:sz="4" w:space="1" w:color="auto"/>
          <w:right w:val="single" w:sz="4" w:space="4" w:color="auto"/>
        </w:pBdr>
        <w:ind w:left="432"/>
        <w:jc w:val="left"/>
        <w:rPr>
          <w:b/>
        </w:rPr>
      </w:pPr>
      <w:r w:rsidRPr="00E13AB7">
        <w:rPr>
          <w:b/>
        </w:rPr>
        <w:t>For primary producers</w:t>
      </w:r>
      <w:r>
        <w:rPr>
          <w:b/>
        </w:rPr>
        <w:t xml:space="preserve"> of scallops</w:t>
      </w:r>
      <w:r w:rsidRPr="00E13AB7">
        <w:rPr>
          <w:b/>
        </w:rPr>
        <w:t>,</w:t>
      </w:r>
      <w:r>
        <w:rPr>
          <w:b/>
        </w:rPr>
        <w:t xml:space="preserve"> </w:t>
      </w:r>
      <w:r w:rsidRPr="00E13AB7">
        <w:rPr>
          <w:b/>
        </w:rPr>
        <w:t xml:space="preserve">the definition of ‘local’ </w:t>
      </w:r>
      <w:r>
        <w:rPr>
          <w:b/>
        </w:rPr>
        <w:t xml:space="preserve">is </w:t>
      </w:r>
      <w:r w:rsidRPr="00E13AB7">
        <w:rPr>
          <w:b/>
        </w:rPr>
        <w:t>the whole of Scotland.</w:t>
      </w:r>
    </w:p>
    <w:p w:rsidR="005D2F6A" w:rsidRDefault="005D2F6A" w:rsidP="005D2F6A">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5D2F6A" w:rsidRPr="00F85259" w:rsidRDefault="005D2F6A" w:rsidP="005D2F6A">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rPr>
          <w:b/>
          <w:i/>
        </w:rPr>
      </w:pPr>
      <w:r w:rsidRPr="00F85259">
        <w:rPr>
          <w:b/>
          <w:i/>
        </w:rPr>
        <w:t>Definition of ‘direct supply’</w:t>
      </w:r>
    </w:p>
    <w:p w:rsidR="005D2F6A" w:rsidRDefault="00F85259"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“D</w:t>
      </w:r>
      <w:r w:rsidR="005D2F6A" w:rsidRPr="005D2F6A">
        <w:t>irect supply</w:t>
      </w:r>
      <w:r>
        <w:t>”</w:t>
      </w:r>
      <w:r w:rsidR="005D2F6A" w:rsidRPr="005D2F6A">
        <w:t xml:space="preserve"> to the final consumer would include mail order or internet sales, as long as the supply is </w:t>
      </w:r>
      <w:r w:rsidR="005D2F6A" w:rsidRPr="00F85259">
        <w:rPr>
          <w:i/>
        </w:rPr>
        <w:t>direct</w:t>
      </w:r>
      <w:r w:rsidR="005D2F6A" w:rsidRPr="005D2F6A">
        <w:t xml:space="preserve"> to the consumer.</w:t>
      </w:r>
      <w:r>
        <w:t xml:space="preserve">  A courier service can therefore be used to transport the products directly from the primary producer to the final consumer or retailer supplier the final consumer – provided no intermediary transaction takes place.  </w:t>
      </w:r>
    </w:p>
    <w:p w:rsidR="005D2F6A" w:rsidRDefault="005D2F6A" w:rsidP="004A3F0B">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4A3F0B" w:rsidRPr="004A3F0B" w:rsidRDefault="004A3F0B" w:rsidP="004A3F0B">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rPr>
          <w:b/>
          <w:i/>
        </w:rPr>
      </w:pPr>
      <w:r w:rsidRPr="004A3F0B">
        <w:rPr>
          <w:b/>
          <w:i/>
        </w:rPr>
        <w:t xml:space="preserve">Managing toxin risks </w:t>
      </w:r>
      <w:r w:rsidR="008B6C1F">
        <w:rPr>
          <w:b/>
          <w:i/>
        </w:rPr>
        <w:t xml:space="preserve">– for king scallops </w:t>
      </w:r>
      <w:r w:rsidR="008B0364">
        <w:rPr>
          <w:b/>
          <w:i/>
        </w:rPr>
        <w:t>only</w:t>
      </w:r>
    </w:p>
    <w:p w:rsidR="004A3F0B" w:rsidRDefault="004A3F0B"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Food businesses must be able to demonstrate that food placed on the market to the final consumer is safe.</w:t>
      </w:r>
      <w:r w:rsidRPr="00F5338D">
        <w:t xml:space="preserve"> </w:t>
      </w:r>
      <w:r>
        <w:t xml:space="preserve">  </w:t>
      </w:r>
    </w:p>
    <w:p w:rsidR="00CB7471" w:rsidRDefault="00CB7471" w:rsidP="00CB7471">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4A3F0B" w:rsidRDefault="004A3F0B"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 xml:space="preserve">Given that a critical control exists </w:t>
      </w:r>
      <w:r w:rsidR="00CA676B">
        <w:t xml:space="preserve">which has been shown to be particularly effective for </w:t>
      </w:r>
      <w:r w:rsidR="00270B8D">
        <w:t xml:space="preserve">mitigating the risks </w:t>
      </w:r>
      <w:r w:rsidR="0051164B">
        <w:t>toxins in King Scallops (in particular ASP),</w:t>
      </w:r>
      <w:r w:rsidR="00CA676B">
        <w:t xml:space="preserve"> </w:t>
      </w:r>
      <w:r w:rsidR="00CB7471">
        <w:t xml:space="preserve"> </w:t>
      </w:r>
      <w:r w:rsidR="00CA676B">
        <w:t>s</w:t>
      </w:r>
      <w:r>
        <w:t xml:space="preserve">mall quantities of whole live </w:t>
      </w:r>
      <w:r w:rsidR="0051164B">
        <w:t xml:space="preserve">king </w:t>
      </w:r>
      <w:r>
        <w:t xml:space="preserve">scallops may be sold direct by fishermen </w:t>
      </w:r>
      <w:r w:rsidR="00CA676B">
        <w:t>under the following circumstances</w:t>
      </w:r>
      <w:r w:rsidR="00FE17AD">
        <w:t>:</w:t>
      </w:r>
    </w:p>
    <w:p w:rsidR="00CA676B" w:rsidRDefault="00CA676B" w:rsidP="00CA676B">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CA676B" w:rsidRPr="00CA676B" w:rsidRDefault="00CA676B" w:rsidP="00410BD9">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jc w:val="left"/>
        <w:rPr>
          <w:i/>
          <w:u w:val="single"/>
        </w:rPr>
      </w:pPr>
      <w:r w:rsidRPr="00CA676B">
        <w:rPr>
          <w:i/>
          <w:u w:val="single"/>
        </w:rPr>
        <w:t>For sale to local caterers</w:t>
      </w:r>
      <w:r>
        <w:rPr>
          <w:i/>
          <w:u w:val="single"/>
        </w:rPr>
        <w:t>:</w:t>
      </w:r>
    </w:p>
    <w:p w:rsidR="00CB7471" w:rsidRDefault="00CB7471" w:rsidP="00CB7471">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p>
    <w:p w:rsidR="00CA676B" w:rsidRDefault="00CA676B" w:rsidP="00B30B1F">
      <w:pPr>
        <w:pStyle w:val="ListParagraph"/>
        <w:pBdr>
          <w:top w:val="single" w:sz="4" w:space="1" w:color="auto"/>
          <w:left w:val="single" w:sz="4" w:space="4" w:color="auto"/>
          <w:bottom w:val="single" w:sz="4" w:space="1" w:color="auto"/>
          <w:right w:val="single" w:sz="4" w:space="4" w:color="auto"/>
        </w:pBdr>
        <w:ind w:left="576"/>
        <w:rPr>
          <w:b/>
        </w:rPr>
      </w:pPr>
      <w:r>
        <w:rPr>
          <w:b/>
        </w:rPr>
        <w:t>S</w:t>
      </w:r>
      <w:r w:rsidRPr="000241A6">
        <w:rPr>
          <w:b/>
        </w:rPr>
        <w:t xml:space="preserve">mall quantities of whole live </w:t>
      </w:r>
      <w:r w:rsidR="0051164B">
        <w:rPr>
          <w:b/>
        </w:rPr>
        <w:t xml:space="preserve">king </w:t>
      </w:r>
      <w:r w:rsidRPr="000241A6">
        <w:rPr>
          <w:b/>
        </w:rPr>
        <w:t xml:space="preserve">scallops may be sold direct by fishermen to </w:t>
      </w:r>
      <w:r w:rsidRPr="00CA676B">
        <w:rPr>
          <w:b/>
          <w:u w:val="single"/>
        </w:rPr>
        <w:t>local caterers</w:t>
      </w:r>
      <w:r w:rsidRPr="000241A6">
        <w:rPr>
          <w:b/>
        </w:rPr>
        <w:t xml:space="preserve"> </w:t>
      </w:r>
      <w:r>
        <w:rPr>
          <w:b/>
        </w:rPr>
        <w:t xml:space="preserve">provided </w:t>
      </w:r>
      <w:r w:rsidR="00B456D3">
        <w:rPr>
          <w:b/>
        </w:rPr>
        <w:t xml:space="preserve">all </w:t>
      </w:r>
      <w:r>
        <w:rPr>
          <w:b/>
        </w:rPr>
        <w:t xml:space="preserve">the following conditions </w:t>
      </w:r>
      <w:r w:rsidR="005F5DD9">
        <w:rPr>
          <w:b/>
        </w:rPr>
        <w:t xml:space="preserve">(a-e) </w:t>
      </w:r>
      <w:r>
        <w:rPr>
          <w:b/>
        </w:rPr>
        <w:t>are met</w:t>
      </w:r>
      <w:r w:rsidR="005F5DD9">
        <w:rPr>
          <w:b/>
        </w:rPr>
        <w:t xml:space="preserve"> </w:t>
      </w:r>
    </w:p>
    <w:p w:rsidR="00CA676B" w:rsidRDefault="00CA676B" w:rsidP="00B30B1F">
      <w:pPr>
        <w:pStyle w:val="ListParagraph"/>
        <w:pBdr>
          <w:top w:val="single" w:sz="4" w:space="1" w:color="auto"/>
          <w:left w:val="single" w:sz="4" w:space="4" w:color="auto"/>
          <w:bottom w:val="single" w:sz="4" w:space="1" w:color="auto"/>
          <w:right w:val="single" w:sz="4" w:space="4" w:color="auto"/>
        </w:pBdr>
        <w:tabs>
          <w:tab w:val="clear" w:pos="1701"/>
        </w:tabs>
        <w:ind w:left="576"/>
        <w:rPr>
          <w:b/>
        </w:rPr>
      </w:pPr>
    </w:p>
    <w:p w:rsidR="00CA676B" w:rsidRDefault="00F57887" w:rsidP="00B30B1F">
      <w:pPr>
        <w:pStyle w:val="ListParagraph"/>
        <w:pBdr>
          <w:top w:val="single" w:sz="4" w:space="1" w:color="auto"/>
          <w:left w:val="single" w:sz="4" w:space="4" w:color="auto"/>
          <w:bottom w:val="single" w:sz="4" w:space="1" w:color="auto"/>
          <w:right w:val="single" w:sz="4" w:space="4" w:color="auto"/>
        </w:pBdr>
        <w:tabs>
          <w:tab w:val="clear" w:pos="1701"/>
        </w:tabs>
        <w:ind w:left="576"/>
      </w:pPr>
      <w:r>
        <w:t xml:space="preserve">a).  </w:t>
      </w:r>
      <w:r w:rsidR="00CA676B">
        <w:t>P</w:t>
      </w:r>
      <w:r w:rsidR="0051164B">
        <w:t>rimary producers selling whole king s</w:t>
      </w:r>
      <w:r w:rsidR="00CA676B">
        <w:t xml:space="preserve">callops should seek assurance from prospective catering buyers that they have </w:t>
      </w:r>
      <w:r w:rsidR="00155D91">
        <w:t xml:space="preserve">effective </w:t>
      </w:r>
      <w:r w:rsidR="00CA676B">
        <w:t>food safety management</w:t>
      </w:r>
      <w:r w:rsidR="00F85259">
        <w:t xml:space="preserve"> systems in place prior to sale.  Primary producers selling whole king scallops should also notify their own local authority of their intention to sell whole live product.</w:t>
      </w:r>
    </w:p>
    <w:p w:rsidR="005F5DD9" w:rsidRDefault="0051164B"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r>
        <w:rPr>
          <w:rFonts w:ascii="Arial" w:hAnsi="Arial" w:cs="Arial"/>
          <w:sz w:val="24"/>
          <w:szCs w:val="24"/>
        </w:rPr>
        <w:t>b</w:t>
      </w:r>
      <w:r w:rsidR="00F57887">
        <w:rPr>
          <w:rFonts w:ascii="Arial" w:hAnsi="Arial" w:cs="Arial"/>
          <w:sz w:val="24"/>
          <w:szCs w:val="24"/>
        </w:rPr>
        <w:t>)</w:t>
      </w:r>
      <w:r w:rsidR="00CA676B">
        <w:rPr>
          <w:rFonts w:ascii="Arial" w:hAnsi="Arial" w:cs="Arial"/>
          <w:sz w:val="24"/>
          <w:szCs w:val="24"/>
        </w:rPr>
        <w:t>.</w:t>
      </w:r>
      <w:r w:rsidR="00F57887">
        <w:rPr>
          <w:rFonts w:ascii="Arial" w:hAnsi="Arial" w:cs="Arial"/>
          <w:sz w:val="24"/>
          <w:szCs w:val="24"/>
        </w:rPr>
        <w:t xml:space="preserve">  </w:t>
      </w:r>
      <w:r w:rsidR="00CA676B" w:rsidRPr="00CA676B">
        <w:rPr>
          <w:rFonts w:ascii="Arial" w:hAnsi="Arial" w:cs="Arial"/>
          <w:sz w:val="24"/>
          <w:szCs w:val="24"/>
        </w:rPr>
        <w:t>Caterers seeking to buy whole</w:t>
      </w:r>
      <w:r>
        <w:rPr>
          <w:rFonts w:ascii="Arial" w:hAnsi="Arial" w:cs="Arial"/>
          <w:sz w:val="24"/>
          <w:szCs w:val="24"/>
        </w:rPr>
        <w:t xml:space="preserve"> king</w:t>
      </w:r>
      <w:r w:rsidR="00CA676B" w:rsidRPr="00CA676B">
        <w:rPr>
          <w:rFonts w:ascii="Arial" w:hAnsi="Arial" w:cs="Arial"/>
          <w:sz w:val="24"/>
          <w:szCs w:val="24"/>
        </w:rPr>
        <w:t xml:space="preserve"> scallops should be </w:t>
      </w:r>
      <w:r w:rsidR="00CA676B">
        <w:rPr>
          <w:rFonts w:ascii="Arial" w:hAnsi="Arial" w:cs="Arial"/>
          <w:sz w:val="24"/>
          <w:szCs w:val="24"/>
        </w:rPr>
        <w:t>able</w:t>
      </w:r>
      <w:r w:rsidR="00CA676B" w:rsidRPr="00CA676B">
        <w:rPr>
          <w:rFonts w:ascii="Arial" w:hAnsi="Arial" w:cs="Arial"/>
          <w:sz w:val="24"/>
          <w:szCs w:val="24"/>
        </w:rPr>
        <w:t xml:space="preserve"> to provide confirmation</w:t>
      </w:r>
      <w:r w:rsidR="00F57887">
        <w:rPr>
          <w:rFonts w:ascii="Arial" w:hAnsi="Arial" w:cs="Arial"/>
          <w:sz w:val="24"/>
          <w:szCs w:val="24"/>
        </w:rPr>
        <w:t xml:space="preserve"> to primary producers</w:t>
      </w:r>
      <w:r w:rsidR="00CA676B" w:rsidRPr="00CA676B">
        <w:rPr>
          <w:rFonts w:ascii="Arial" w:hAnsi="Arial" w:cs="Arial"/>
          <w:sz w:val="24"/>
          <w:szCs w:val="24"/>
        </w:rPr>
        <w:t xml:space="preserve"> that they have </w:t>
      </w:r>
      <w:r w:rsidR="00E645BF">
        <w:rPr>
          <w:rFonts w:ascii="Arial" w:hAnsi="Arial" w:cs="Arial"/>
          <w:sz w:val="24"/>
          <w:szCs w:val="24"/>
        </w:rPr>
        <w:t xml:space="preserve">an </w:t>
      </w:r>
      <w:r w:rsidR="00155D91">
        <w:rPr>
          <w:rFonts w:ascii="Arial" w:hAnsi="Arial" w:cs="Arial"/>
          <w:sz w:val="24"/>
          <w:szCs w:val="24"/>
        </w:rPr>
        <w:t xml:space="preserve">effective </w:t>
      </w:r>
      <w:r w:rsidR="00CA676B" w:rsidRPr="00CA676B">
        <w:rPr>
          <w:rFonts w:ascii="Arial" w:hAnsi="Arial" w:cs="Arial"/>
          <w:sz w:val="24"/>
          <w:szCs w:val="24"/>
        </w:rPr>
        <w:t xml:space="preserve">HACCP </w:t>
      </w:r>
      <w:r w:rsidR="00E645BF">
        <w:rPr>
          <w:rFonts w:ascii="Arial" w:hAnsi="Arial" w:cs="Arial"/>
          <w:sz w:val="24"/>
          <w:szCs w:val="24"/>
        </w:rPr>
        <w:t xml:space="preserve">system </w:t>
      </w:r>
      <w:r w:rsidR="00CA676B" w:rsidRPr="00CA676B">
        <w:rPr>
          <w:rFonts w:ascii="Arial" w:hAnsi="Arial" w:cs="Arial"/>
          <w:sz w:val="24"/>
          <w:szCs w:val="24"/>
        </w:rPr>
        <w:t>and trained staff in place</w:t>
      </w:r>
      <w:r w:rsidR="00F57887">
        <w:rPr>
          <w:rFonts w:ascii="Arial" w:hAnsi="Arial" w:cs="Arial"/>
          <w:sz w:val="24"/>
          <w:szCs w:val="24"/>
        </w:rPr>
        <w:t xml:space="preserve"> prior to sale</w:t>
      </w:r>
      <w:r w:rsidR="005F5DD9">
        <w:rPr>
          <w:rFonts w:ascii="Arial" w:hAnsi="Arial" w:cs="Arial"/>
          <w:sz w:val="24"/>
          <w:szCs w:val="24"/>
        </w:rPr>
        <w:t xml:space="preserve">.  </w:t>
      </w:r>
    </w:p>
    <w:p w:rsidR="005F5DD9" w:rsidRDefault="005F5DD9"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p>
    <w:p w:rsidR="00CA676B" w:rsidRDefault="005F5DD9"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r>
        <w:rPr>
          <w:rFonts w:ascii="Arial" w:hAnsi="Arial" w:cs="Arial"/>
          <w:sz w:val="24"/>
          <w:szCs w:val="24"/>
        </w:rPr>
        <w:t xml:space="preserve">c)  Caterers </w:t>
      </w:r>
      <w:r w:rsidR="00F85259">
        <w:rPr>
          <w:rFonts w:ascii="Arial" w:hAnsi="Arial" w:cs="Arial"/>
          <w:sz w:val="24"/>
          <w:szCs w:val="24"/>
        </w:rPr>
        <w:t>should also</w:t>
      </w:r>
      <w:r>
        <w:rPr>
          <w:rFonts w:ascii="Arial" w:hAnsi="Arial" w:cs="Arial"/>
          <w:sz w:val="24"/>
          <w:szCs w:val="24"/>
        </w:rPr>
        <w:t xml:space="preserve"> notify their local authority of their intention to process </w:t>
      </w:r>
      <w:r w:rsidR="00F85259">
        <w:rPr>
          <w:rFonts w:ascii="Arial" w:hAnsi="Arial" w:cs="Arial"/>
          <w:sz w:val="24"/>
          <w:szCs w:val="24"/>
        </w:rPr>
        <w:t xml:space="preserve">whole king </w:t>
      </w:r>
      <w:r>
        <w:rPr>
          <w:rFonts w:ascii="Arial" w:hAnsi="Arial" w:cs="Arial"/>
          <w:sz w:val="24"/>
          <w:szCs w:val="24"/>
        </w:rPr>
        <w:t xml:space="preserve">scallops sourced directly from primary producers.  Caterers should have </w:t>
      </w:r>
      <w:r w:rsidR="00155D91">
        <w:rPr>
          <w:rFonts w:ascii="Arial" w:hAnsi="Arial" w:cs="Arial"/>
          <w:sz w:val="24"/>
          <w:szCs w:val="24"/>
        </w:rPr>
        <w:t xml:space="preserve">an effective </w:t>
      </w:r>
      <w:r w:rsidR="00E645BF">
        <w:rPr>
          <w:rFonts w:ascii="Arial" w:hAnsi="Arial" w:cs="Arial"/>
          <w:sz w:val="24"/>
          <w:szCs w:val="24"/>
        </w:rPr>
        <w:t>H</w:t>
      </w:r>
      <w:r>
        <w:rPr>
          <w:rFonts w:ascii="Arial" w:hAnsi="Arial" w:cs="Arial"/>
          <w:sz w:val="24"/>
          <w:szCs w:val="24"/>
        </w:rPr>
        <w:t xml:space="preserve">ACCP </w:t>
      </w:r>
      <w:r w:rsidR="00E645BF">
        <w:rPr>
          <w:rFonts w:ascii="Arial" w:hAnsi="Arial" w:cs="Arial"/>
          <w:sz w:val="24"/>
          <w:szCs w:val="24"/>
        </w:rPr>
        <w:t xml:space="preserve">system </w:t>
      </w:r>
      <w:r>
        <w:rPr>
          <w:rFonts w:ascii="Arial" w:hAnsi="Arial" w:cs="Arial"/>
          <w:sz w:val="24"/>
          <w:szCs w:val="24"/>
        </w:rPr>
        <w:t>reflecting the risks associated with this product</w:t>
      </w:r>
      <w:r w:rsidR="00F85259">
        <w:rPr>
          <w:rFonts w:ascii="Arial" w:hAnsi="Arial" w:cs="Arial"/>
          <w:sz w:val="24"/>
          <w:szCs w:val="24"/>
        </w:rPr>
        <w:t xml:space="preserve"> and should maintain traceability of all their </w:t>
      </w:r>
      <w:r w:rsidR="00F85259">
        <w:rPr>
          <w:rFonts w:ascii="Arial" w:hAnsi="Arial" w:cs="Arial"/>
          <w:sz w:val="24"/>
          <w:szCs w:val="24"/>
        </w:rPr>
        <w:lastRenderedPageBreak/>
        <w:t>suppliers in accordance with EC regulation 178/2002, particularly for those supplying scallops under these arrangements</w:t>
      </w:r>
      <w:r>
        <w:rPr>
          <w:rFonts w:ascii="Arial" w:hAnsi="Arial" w:cs="Arial"/>
          <w:sz w:val="24"/>
          <w:szCs w:val="24"/>
        </w:rPr>
        <w:t>.</w:t>
      </w:r>
    </w:p>
    <w:p w:rsidR="00CA676B" w:rsidRDefault="00CA676B"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p>
    <w:p w:rsidR="00CA676B" w:rsidRDefault="005F5DD9"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r>
        <w:rPr>
          <w:rFonts w:ascii="Arial" w:hAnsi="Arial" w:cs="Arial"/>
          <w:sz w:val="24"/>
          <w:szCs w:val="24"/>
        </w:rPr>
        <w:t>d</w:t>
      </w:r>
      <w:r w:rsidR="00F57887">
        <w:rPr>
          <w:rFonts w:ascii="Arial" w:hAnsi="Arial" w:cs="Arial"/>
          <w:sz w:val="24"/>
          <w:szCs w:val="24"/>
        </w:rPr>
        <w:t xml:space="preserve">).  </w:t>
      </w:r>
      <w:r w:rsidR="00CA676B" w:rsidRPr="00CA676B">
        <w:rPr>
          <w:rFonts w:ascii="Arial" w:hAnsi="Arial" w:cs="Arial"/>
          <w:sz w:val="24"/>
          <w:szCs w:val="24"/>
        </w:rPr>
        <w:t xml:space="preserve">Primary producers should provide appropriate instructions for use with each batch and that batches should be clearly </w:t>
      </w:r>
      <w:r w:rsidR="00CA676B">
        <w:rPr>
          <w:rFonts w:ascii="Arial" w:hAnsi="Arial" w:cs="Arial"/>
          <w:sz w:val="24"/>
          <w:szCs w:val="24"/>
        </w:rPr>
        <w:t>labelled regarding intended use</w:t>
      </w:r>
    </w:p>
    <w:p w:rsidR="0051164B" w:rsidRDefault="0051164B"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p>
    <w:p w:rsidR="0051164B" w:rsidRDefault="005F5DD9"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r>
        <w:rPr>
          <w:rFonts w:ascii="Arial" w:hAnsi="Arial" w:cs="Arial"/>
          <w:sz w:val="24"/>
          <w:szCs w:val="24"/>
        </w:rPr>
        <w:t>e</w:t>
      </w:r>
      <w:r w:rsidR="0051164B">
        <w:rPr>
          <w:rFonts w:ascii="Arial" w:hAnsi="Arial" w:cs="Arial"/>
          <w:sz w:val="24"/>
          <w:szCs w:val="24"/>
        </w:rPr>
        <w:t xml:space="preserve">) </w:t>
      </w:r>
      <w:r w:rsidR="005D3B8C">
        <w:rPr>
          <w:rFonts w:ascii="Arial" w:hAnsi="Arial" w:cs="Arial"/>
          <w:sz w:val="24"/>
          <w:szCs w:val="24"/>
        </w:rPr>
        <w:t xml:space="preserve">Caterers need to be able to verify that their HACCP is </w:t>
      </w:r>
      <w:r w:rsidR="00E645BF">
        <w:rPr>
          <w:rFonts w:ascii="Arial" w:hAnsi="Arial" w:cs="Arial"/>
          <w:sz w:val="24"/>
          <w:szCs w:val="24"/>
        </w:rPr>
        <w:t>effective a</w:t>
      </w:r>
      <w:r w:rsidR="005D3B8C">
        <w:rPr>
          <w:rFonts w:ascii="Arial" w:hAnsi="Arial" w:cs="Arial"/>
          <w:sz w:val="24"/>
          <w:szCs w:val="24"/>
        </w:rPr>
        <w:t>nd may be able to liaise with the primary producer who may be best placed to undertake testing of shucked product as part of that verification process.</w:t>
      </w:r>
    </w:p>
    <w:p w:rsidR="005D3B8C" w:rsidRDefault="005D3B8C"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p>
    <w:p w:rsidR="005D3B8C" w:rsidRPr="00CA676B" w:rsidRDefault="005D3B8C" w:rsidP="00B30B1F">
      <w:pPr>
        <w:pBdr>
          <w:top w:val="single" w:sz="4" w:space="1" w:color="auto"/>
          <w:left w:val="single" w:sz="4" w:space="4" w:color="auto"/>
          <w:bottom w:val="single" w:sz="4" w:space="1" w:color="auto"/>
          <w:right w:val="single" w:sz="4" w:space="4" w:color="auto"/>
        </w:pBdr>
        <w:tabs>
          <w:tab w:val="left" w:pos="851"/>
        </w:tabs>
        <w:ind w:left="576"/>
        <w:jc w:val="both"/>
        <w:rPr>
          <w:rFonts w:ascii="Arial" w:hAnsi="Arial" w:cs="Arial"/>
          <w:sz w:val="24"/>
          <w:szCs w:val="24"/>
        </w:rPr>
      </w:pPr>
      <w:r>
        <w:rPr>
          <w:rFonts w:ascii="Arial" w:hAnsi="Arial" w:cs="Arial"/>
          <w:sz w:val="24"/>
          <w:szCs w:val="24"/>
        </w:rPr>
        <w:t>f)Local authorities with caterers receiving product under these arrangements should ensure that the procedures outlined above are in place.</w:t>
      </w:r>
    </w:p>
    <w:p w:rsidR="00CA676B" w:rsidRDefault="00CA676B" w:rsidP="00CA676B">
      <w:pPr>
        <w:pBdr>
          <w:top w:val="single" w:sz="4" w:space="1" w:color="auto"/>
          <w:left w:val="single" w:sz="4" w:space="4" w:color="auto"/>
          <w:bottom w:val="single" w:sz="4" w:space="1" w:color="auto"/>
          <w:right w:val="single" w:sz="4" w:space="4" w:color="auto"/>
        </w:pBdr>
        <w:ind w:left="576"/>
      </w:pPr>
    </w:p>
    <w:p w:rsidR="00CA676B" w:rsidRDefault="00CA676B" w:rsidP="00CA676B">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jc w:val="left"/>
      </w:pPr>
      <w:r>
        <w:tab/>
      </w:r>
      <w:r>
        <w:tab/>
      </w:r>
    </w:p>
    <w:p w:rsidR="004A3F0B" w:rsidRDefault="00F57887"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 xml:space="preserve">This system </w:t>
      </w:r>
      <w:r w:rsidR="00E72AB8">
        <w:t xml:space="preserve">means that active documentary contact </w:t>
      </w:r>
      <w:r w:rsidR="00AB66FD">
        <w:t>should be made</w:t>
      </w:r>
      <w:r>
        <w:t xml:space="preserve"> between harvester and caterer prior to sale</w:t>
      </w:r>
      <w:r w:rsidR="005D3B8C">
        <w:t>, and between harvesters/caterers and their respective local authorities</w:t>
      </w:r>
      <w:r>
        <w:t>.</w:t>
      </w:r>
      <w:r w:rsidR="00AB66FD">
        <w:t xml:space="preserve">  A model letter which a primary producer can send to prospective customers</w:t>
      </w:r>
      <w:r w:rsidR="005D3B8C">
        <w:t>, copying their local authority lead food officer</w:t>
      </w:r>
      <w:r w:rsidR="00AB66FD">
        <w:t xml:space="preserve"> is available at </w:t>
      </w:r>
      <w:proofErr w:type="spellStart"/>
      <w:r w:rsidR="00AB66FD" w:rsidRPr="00F57887">
        <w:rPr>
          <w:b/>
        </w:rPr>
        <w:t>D1</w:t>
      </w:r>
      <w:proofErr w:type="spellEnd"/>
      <w:r w:rsidR="00AB66FD">
        <w:t>.</w:t>
      </w:r>
      <w:r w:rsidR="00175FBF">
        <w:t xml:space="preserve"> (</w:t>
      </w:r>
      <w:r w:rsidR="00175FBF" w:rsidRPr="00F57887">
        <w:rPr>
          <w:b/>
        </w:rPr>
        <w:t xml:space="preserve">Annex </w:t>
      </w:r>
      <w:proofErr w:type="spellStart"/>
      <w:r w:rsidR="00175FBF" w:rsidRPr="00F57887">
        <w:rPr>
          <w:b/>
        </w:rPr>
        <w:t>D1</w:t>
      </w:r>
      <w:proofErr w:type="spellEnd"/>
      <w:r w:rsidR="00175FBF" w:rsidRPr="00F57887">
        <w:rPr>
          <w:b/>
        </w:rPr>
        <w:t>)</w:t>
      </w:r>
      <w:r w:rsidR="00175FBF">
        <w:t xml:space="preserve">  </w:t>
      </w:r>
    </w:p>
    <w:p w:rsidR="00FB5B8A" w:rsidRDefault="00FB5B8A" w:rsidP="00B30B1F">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321465" w:rsidRPr="00321465" w:rsidRDefault="00175FBF"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 xml:space="preserve">Suggested instructions for use and labelling are provided  at </w:t>
      </w:r>
      <w:r w:rsidRPr="00F57887">
        <w:rPr>
          <w:b/>
        </w:rPr>
        <w:t xml:space="preserve">Annex D </w:t>
      </w:r>
      <w:r w:rsidR="005F5DD9">
        <w:rPr>
          <w:b/>
        </w:rPr>
        <w:t>2</w:t>
      </w:r>
    </w:p>
    <w:p w:rsidR="00175FBF" w:rsidRDefault="00175FBF" w:rsidP="00B30B1F">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r>
        <w:t xml:space="preserve"> </w:t>
      </w:r>
    </w:p>
    <w:p w:rsidR="008B6C1F" w:rsidRDefault="008B6C1F" w:rsidP="00B30B1F">
      <w:pPr>
        <w:pStyle w:val="ListParagraph"/>
        <w:numPr>
          <w:ilvl w:val="1"/>
          <w:numId w:val="10"/>
        </w:numPr>
        <w:tabs>
          <w:tab w:val="left" w:pos="720"/>
          <w:tab w:val="left" w:pos="1440"/>
          <w:tab w:val="left" w:pos="2160"/>
          <w:tab w:val="left" w:pos="2880"/>
          <w:tab w:val="left" w:pos="4680"/>
          <w:tab w:val="left" w:pos="5400"/>
          <w:tab w:val="right" w:pos="9000"/>
        </w:tabs>
        <w:spacing w:line="240" w:lineRule="atLeast"/>
      </w:pPr>
      <w:r w:rsidRPr="008B6C1F">
        <w:rPr>
          <w:i/>
          <w:u w:val="single"/>
        </w:rPr>
        <w:t>For sale to final consumers or caterers with unconfirmed scallop HACCP</w:t>
      </w:r>
      <w:r>
        <w:t xml:space="preserve"> It should be noted that the specific primary production exemption within the hygiene regulations extends to sales direct to final consumers.  On the basis that shucking must take place in a controlled environment, which in this model should be confirmed by the primary producer prior to sale, i</w:t>
      </w:r>
      <w:r w:rsidR="00CF5615">
        <w:t xml:space="preserve">t is proposed that </w:t>
      </w:r>
      <w:r w:rsidR="00CF5615" w:rsidRPr="00CF5615">
        <w:rPr>
          <w:i/>
        </w:rPr>
        <w:t xml:space="preserve">all batches </w:t>
      </w:r>
      <w:r w:rsidRPr="00CF5615">
        <w:rPr>
          <w:i/>
        </w:rPr>
        <w:t xml:space="preserve">of whole king scallops sold directly to the final consumer, retailers or to caterers that have not confirmed their food safety management and training systems </w:t>
      </w:r>
      <w:r w:rsidR="00CF5615" w:rsidRPr="00CF5615">
        <w:rPr>
          <w:i/>
        </w:rPr>
        <w:t>must conform to the toxin standards set out in law</w:t>
      </w:r>
      <w:r w:rsidRPr="00CF5615">
        <w:rPr>
          <w:i/>
        </w:rPr>
        <w:t>.</w:t>
      </w:r>
      <w:r>
        <w:t xml:space="preserve">  </w:t>
      </w:r>
      <w:r w:rsidRPr="008B6C1F">
        <w:rPr>
          <w:u w:val="single"/>
        </w:rPr>
        <w:t>This means that each batch should be tested for toxins prior to sale</w:t>
      </w:r>
      <w:r>
        <w:t xml:space="preserve">. </w:t>
      </w:r>
    </w:p>
    <w:p w:rsidR="008B6C1F" w:rsidRDefault="008B6C1F" w:rsidP="008B6C1F">
      <w:pPr>
        <w:pStyle w:val="ListParagraph"/>
        <w:tabs>
          <w:tab w:val="left" w:pos="720"/>
          <w:tab w:val="left" w:pos="1440"/>
          <w:tab w:val="left" w:pos="2160"/>
          <w:tab w:val="left" w:pos="2880"/>
          <w:tab w:val="left" w:pos="4680"/>
          <w:tab w:val="left" w:pos="5400"/>
          <w:tab w:val="right" w:pos="9000"/>
        </w:tabs>
        <w:spacing w:line="240" w:lineRule="atLeast"/>
        <w:ind w:left="576"/>
      </w:pPr>
    </w:p>
    <w:p w:rsidR="008B6C1F" w:rsidRDefault="008B6C1F"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rsidRPr="00CF5615">
        <w:t>All queen scallops sold on the local market, either to caterers, local retailers or final consumers must also  be compliant with health standards set out in law.</w:t>
      </w:r>
      <w:r>
        <w:t xml:space="preserve">  The specific conditions outlined at 1.7 therefore do not apply to the sale of queen scallops under the primary production exemption.</w:t>
      </w:r>
    </w:p>
    <w:p w:rsidR="005D3B8C" w:rsidRDefault="005D3B8C" w:rsidP="00B30B1F">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5D3B8C" w:rsidRDefault="005D3B8C" w:rsidP="00B30B1F">
      <w:pPr>
        <w:pStyle w:val="ListParagraph"/>
        <w:numPr>
          <w:ilvl w:val="1"/>
          <w:numId w:val="10"/>
        </w:numPr>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pPr>
      <w:r>
        <w:t xml:space="preserve">Guidance on the traceability requirements set down in EC Regulation 178/2002 (the ‘General Food Law’ regulation) can be found </w:t>
      </w:r>
      <w:hyperlink r:id="rId36" w:history="1">
        <w:r w:rsidRPr="005D3B8C">
          <w:rPr>
            <w:rStyle w:val="Hyperlink"/>
          </w:rPr>
          <w:t>here</w:t>
        </w:r>
      </w:hyperlink>
      <w:r>
        <w:t>.</w:t>
      </w:r>
      <w:r w:rsidR="00811D25">
        <w:t xml:space="preserve">  It is expected that local authorities should be able to cross reference lists of producers and receivers of scallops handled under these arrangements.  </w:t>
      </w:r>
    </w:p>
    <w:p w:rsidR="000F2B37" w:rsidRDefault="000F2B37" w:rsidP="00B30B1F">
      <w:pPr>
        <w:pStyle w:val="ListParagraph"/>
        <w:tabs>
          <w:tab w:val="clear" w:pos="851"/>
          <w:tab w:val="clear" w:pos="1701"/>
          <w:tab w:val="clear" w:pos="2552"/>
          <w:tab w:val="clear" w:pos="3402"/>
          <w:tab w:val="clear" w:pos="9072"/>
          <w:tab w:val="left" w:pos="720"/>
          <w:tab w:val="left" w:pos="1440"/>
          <w:tab w:val="left" w:pos="2160"/>
          <w:tab w:val="left" w:pos="2880"/>
          <w:tab w:val="left" w:pos="4680"/>
          <w:tab w:val="left" w:pos="5400"/>
          <w:tab w:val="right" w:pos="9000"/>
        </w:tabs>
        <w:spacing w:after="0" w:line="240" w:lineRule="atLeast"/>
        <w:ind w:left="576"/>
      </w:pPr>
    </w:p>
    <w:p w:rsidR="004A3F0B" w:rsidRDefault="00E645BF" w:rsidP="00B30B1F">
      <w:pPr>
        <w:pStyle w:val="ListParagraph"/>
        <w:ind w:left="576"/>
      </w:pPr>
      <w:r>
        <w:br w:type="page"/>
      </w:r>
    </w:p>
    <w:p w:rsidR="002F54D9" w:rsidRDefault="002F54D9" w:rsidP="00B30B1F">
      <w:pPr>
        <w:pStyle w:val="Subtitle"/>
        <w:jc w:val="both"/>
        <w:rPr>
          <w:rFonts w:ascii="Arial" w:hAnsi="Arial" w:cs="Arial"/>
          <w:b/>
          <w:szCs w:val="28"/>
          <w:lang w:eastAsia="en-US"/>
        </w:rPr>
      </w:pPr>
      <w:bookmarkStart w:id="48" w:name="_Toc462655903"/>
      <w:r w:rsidRPr="002F54D9">
        <w:rPr>
          <w:rFonts w:ascii="Arial" w:eastAsia="Calibri" w:hAnsi="Arial" w:cs="Arial"/>
          <w:b/>
          <w:bCs/>
          <w:noProof/>
          <w:szCs w:val="28"/>
        </w:rPr>
        <w:t>Annex</w:t>
      </w:r>
      <w:r w:rsidR="00E72AB8" w:rsidRPr="002F54D9">
        <w:rPr>
          <w:rFonts w:ascii="Arial" w:eastAsia="Calibri" w:hAnsi="Arial" w:cs="Arial"/>
          <w:b/>
          <w:bCs/>
          <w:noProof/>
          <w:szCs w:val="28"/>
        </w:rPr>
        <w:t xml:space="preserve"> D1: </w:t>
      </w:r>
      <w:r>
        <w:rPr>
          <w:rFonts w:ascii="Arial" w:eastAsia="Calibri" w:hAnsi="Arial" w:cs="Arial"/>
          <w:b/>
          <w:bCs/>
          <w:noProof/>
          <w:szCs w:val="28"/>
        </w:rPr>
        <w:t xml:space="preserve">Confirmation of HACCP and </w:t>
      </w:r>
      <w:r w:rsidR="008B0364">
        <w:rPr>
          <w:rFonts w:ascii="Arial" w:eastAsia="Calibri" w:hAnsi="Arial" w:cs="Arial"/>
          <w:b/>
          <w:bCs/>
          <w:noProof/>
          <w:szCs w:val="28"/>
        </w:rPr>
        <w:t xml:space="preserve">king </w:t>
      </w:r>
      <w:r>
        <w:rPr>
          <w:rFonts w:ascii="Arial" w:eastAsia="Calibri" w:hAnsi="Arial" w:cs="Arial"/>
          <w:b/>
          <w:bCs/>
          <w:noProof/>
          <w:szCs w:val="28"/>
        </w:rPr>
        <w:t>scallop handling requirements</w:t>
      </w:r>
      <w:bookmarkEnd w:id="48"/>
    </w:p>
    <w:p w:rsidR="00E72AB8" w:rsidRPr="002F54D9" w:rsidRDefault="002F54D9" w:rsidP="00B30B1F">
      <w:pPr>
        <w:pStyle w:val="Subtitle"/>
        <w:jc w:val="both"/>
        <w:rPr>
          <w:rFonts w:ascii="Arial" w:hAnsi="Arial" w:cs="Arial"/>
          <w:sz w:val="28"/>
          <w:szCs w:val="28"/>
          <w:lang w:eastAsia="en-US"/>
        </w:rPr>
      </w:pPr>
      <w:bookmarkStart w:id="49" w:name="_Toc462655904"/>
      <w:r>
        <w:rPr>
          <w:rFonts w:ascii="Arial" w:hAnsi="Arial" w:cs="Arial"/>
          <w:szCs w:val="28"/>
          <w:lang w:eastAsia="en-US"/>
        </w:rPr>
        <w:t>(A</w:t>
      </w:r>
      <w:r w:rsidR="003E711C" w:rsidRPr="002F54D9">
        <w:rPr>
          <w:rFonts w:ascii="Arial" w:hAnsi="Arial" w:cs="Arial"/>
          <w:szCs w:val="28"/>
          <w:lang w:eastAsia="en-US"/>
        </w:rPr>
        <w:t>pplies only to small quantities sold directly by the primary producer to local retail establishments</w:t>
      </w:r>
      <w:r>
        <w:rPr>
          <w:rFonts w:ascii="Arial" w:hAnsi="Arial" w:cs="Arial"/>
          <w:szCs w:val="28"/>
          <w:lang w:eastAsia="en-US"/>
        </w:rPr>
        <w:t>)</w:t>
      </w:r>
      <w:bookmarkEnd w:id="49"/>
    </w:p>
    <w:p w:rsidR="00E72AB8" w:rsidRPr="00E72AB8" w:rsidRDefault="00E72AB8" w:rsidP="00E72AB8">
      <w:pPr>
        <w:spacing w:after="200" w:line="276" w:lineRule="auto"/>
        <w:rPr>
          <w:rFonts w:ascii="Calibri" w:eastAsia="Calibri" w:hAnsi="Calibri" w:cs="Arial"/>
          <w:b/>
          <w:noProof/>
          <w:sz w:val="22"/>
          <w:szCs w:val="22"/>
        </w:rPr>
      </w:pPr>
    </w:p>
    <w:p w:rsidR="00E72AB8" w:rsidRPr="00E72AB8" w:rsidRDefault="00CF39F3" w:rsidP="00E72AB8">
      <w:pPr>
        <w:spacing w:after="200" w:line="276" w:lineRule="auto"/>
        <w:rPr>
          <w:rFonts w:ascii="Calibri" w:eastAsia="Calibri" w:hAnsi="Calibri" w:cs="Arial"/>
          <w:noProof/>
          <w:sz w:val="22"/>
          <w:szCs w:val="22"/>
        </w:rPr>
      </w:pPr>
      <w:r>
        <w:rPr>
          <w:noProof/>
        </w:rPr>
        <w:pict>
          <v:shape id="Text Box 2" o:spid="_x0000_s1033" type="#_x0000_t202" style="position:absolute;margin-left:0;margin-top:0;width:385.8pt;height:22.55pt;z-index:25165619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CJJwIAAEw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WJBiWEa&#10;a/QghkDewECKKE9vfYlR9xbjwoDHWOaUqrd3wL96YmDbMbMXN85B3wnWIL1pvJldXB1xfASp+w/Q&#10;4DPsECABDa3TUTtUgyA6lunxXJpIhePhbLlazWdXlHD0FcvFIn+dnmDl023rfHgnQJO4qajD0id0&#10;drzzIbJh5VNIfMyDks1OKpUMt6+3ypEjwzbZpe+E/lOYMqSv6GpezEcB/gqRp+9PEFoG7HcldUWX&#10;5yBWRtnemiZ1Y2BSjXukrMxJxyjdKGIY6iFVLIkcNa6heURhHYztjeOImw7cd0p6bO2K+m8H5gQl&#10;6r3B4qyms1mchWTM5lcFGu7SU196mOEIVdFAybjdhjQ/UTcDN1jEViZ9n5mcKGPLJtlP4xVn4tJO&#10;Uc8/gc0PAAAA//8DAFBLAwQUAAYACAAAACEA2k7X7d0AAAAEAQAADwAAAGRycy9kb3ducmV2Lnht&#10;bEyPwU7DMBBE70j9B2uRuKDWCZSkDXEqhASiN2gRvbrxNolqr4PtpuHvMVzgstJoRjNvy9VoNBvQ&#10;+c6SgHSWAEOqreqoEfC+fZougPkgSUltCQV8oYdVNbkoZaHsmd5w2ISGxRLyhRTQhtAXnPu6RSP9&#10;zPZI0TtYZ2SI0jVcOXmO5UbzmyTJuJEdxYVW9vjYYn3cnIyAxfxl2Pn17etHnR30Mlznw/OnE+Lq&#10;cny4BxZwDH9h+MGP6FBFpr09kfJMC4iPhN8bvTxPM2B7AfO7FHhV8v/w1TcAAAD//wMAUEsBAi0A&#10;FAAGAAgAAAAhALaDOJL+AAAA4QEAABMAAAAAAAAAAAAAAAAAAAAAAFtDb250ZW50X1R5cGVzXS54&#10;bWxQSwECLQAUAAYACAAAACEAOP0h/9YAAACUAQAACwAAAAAAAAAAAAAAAAAvAQAAX3JlbHMvLnJl&#10;bHNQSwECLQAUAAYACAAAACEA68CAiScCAABMBAAADgAAAAAAAAAAAAAAAAAuAgAAZHJzL2Uyb0Rv&#10;Yy54bWxQSwECLQAUAAYACAAAACEA2k7X7d0AAAAEAQAADwAAAAAAAAAAAAAAAACBBAAAZHJzL2Rv&#10;d25yZXYueG1sUEsFBgAAAAAEAAQA8wAAAIsFAAAAAA==&#10;">
            <v:textbox>
              <w:txbxContent>
                <w:p w:rsidR="00E02627" w:rsidRDefault="00E02627" w:rsidP="00E72AB8">
                  <w:r>
                    <w:t>Company letterhead</w:t>
                  </w:r>
                </w:p>
                <w:p w:rsidR="00E02627" w:rsidRDefault="00E02627" w:rsidP="00E72AB8"/>
                <w:p w:rsidR="00E02627" w:rsidRDefault="00E02627" w:rsidP="00E72AB8"/>
                <w:p w:rsidR="00E02627" w:rsidRDefault="00E02627" w:rsidP="00E72AB8"/>
              </w:txbxContent>
            </v:textbox>
          </v:shape>
        </w:pict>
      </w:r>
    </w:p>
    <w:p w:rsidR="00E72AB8" w:rsidRPr="00E72AB8" w:rsidRDefault="00E72AB8" w:rsidP="00E72AB8">
      <w:pPr>
        <w:jc w:val="right"/>
        <w:rPr>
          <w:rFonts w:ascii="Calibri" w:hAnsi="Calibri" w:cs="Arial"/>
          <w:b/>
          <w:bCs/>
          <w:sz w:val="22"/>
          <w:szCs w:val="22"/>
          <w:lang w:eastAsia="en-US"/>
        </w:rPr>
      </w:pPr>
    </w:p>
    <w:p w:rsidR="00E72AB8" w:rsidRPr="00E72AB8" w:rsidRDefault="00E72AB8" w:rsidP="00E72AB8">
      <w:pPr>
        <w:jc w:val="right"/>
        <w:rPr>
          <w:rFonts w:ascii="Calibri" w:hAnsi="Calibri" w:cs="Arial"/>
          <w:bCs/>
          <w:sz w:val="22"/>
          <w:szCs w:val="22"/>
          <w:lang w:eastAsia="en-US"/>
        </w:rPr>
      </w:pPr>
      <w:r w:rsidRPr="00E72AB8">
        <w:rPr>
          <w:rFonts w:ascii="Calibri" w:hAnsi="Calibri" w:cs="Arial"/>
          <w:bCs/>
          <w:sz w:val="22"/>
          <w:szCs w:val="22"/>
          <w:lang w:eastAsia="en-US"/>
        </w:rPr>
        <w:fldChar w:fldCharType="begin"/>
      </w:r>
      <w:r w:rsidRPr="00E72AB8">
        <w:rPr>
          <w:rFonts w:ascii="Calibri" w:hAnsi="Calibri" w:cs="Arial"/>
          <w:bCs/>
          <w:sz w:val="22"/>
          <w:szCs w:val="22"/>
          <w:lang w:eastAsia="en-US"/>
        </w:rPr>
        <w:instrText xml:space="preserve"> DATE \@ "dd MMMM yyyy" </w:instrText>
      </w:r>
      <w:r w:rsidRPr="00E72AB8">
        <w:rPr>
          <w:rFonts w:ascii="Calibri" w:hAnsi="Calibri" w:cs="Arial"/>
          <w:bCs/>
          <w:sz w:val="22"/>
          <w:szCs w:val="22"/>
          <w:lang w:eastAsia="en-US"/>
        </w:rPr>
        <w:fldChar w:fldCharType="separate"/>
      </w:r>
      <w:r w:rsidR="00F55F9B">
        <w:rPr>
          <w:rFonts w:ascii="Calibri" w:hAnsi="Calibri" w:cs="Arial"/>
          <w:bCs/>
          <w:noProof/>
          <w:sz w:val="22"/>
          <w:szCs w:val="22"/>
          <w:lang w:eastAsia="en-US"/>
        </w:rPr>
        <w:t>16 February 2017</w:t>
      </w:r>
      <w:r w:rsidRPr="00E72AB8">
        <w:rPr>
          <w:rFonts w:ascii="Calibri" w:hAnsi="Calibri" w:cs="Arial"/>
          <w:bCs/>
          <w:sz w:val="22"/>
          <w:szCs w:val="22"/>
          <w:lang w:eastAsia="en-US"/>
        </w:rPr>
        <w:fldChar w:fldCharType="end"/>
      </w:r>
    </w:p>
    <w:p w:rsidR="00E72AB8" w:rsidRPr="00E72AB8" w:rsidRDefault="00E72AB8" w:rsidP="00E72AB8">
      <w:pPr>
        <w:jc w:val="both"/>
        <w:rPr>
          <w:rFonts w:ascii="Calibri" w:hAnsi="Calibri" w:cs="Arial"/>
          <w:sz w:val="22"/>
          <w:szCs w:val="22"/>
          <w:lang w:eastAsia="en-US"/>
        </w:rPr>
      </w:pPr>
      <w:r w:rsidRPr="00E72AB8">
        <w:rPr>
          <w:rFonts w:ascii="Calibri" w:hAnsi="Calibri" w:cs="Arial"/>
          <w:sz w:val="22"/>
          <w:szCs w:val="22"/>
          <w:lang w:eastAsia="en-US"/>
        </w:rPr>
        <w:t>Dear Chef / Manager,</w:t>
      </w:r>
    </w:p>
    <w:p w:rsidR="00E72AB8" w:rsidRPr="00E72AB8" w:rsidRDefault="00E72AB8" w:rsidP="00E72AB8">
      <w:pPr>
        <w:pBdr>
          <w:top w:val="single" w:sz="4" w:space="1" w:color="auto"/>
          <w:left w:val="single" w:sz="4" w:space="4" w:color="auto"/>
          <w:bottom w:val="single" w:sz="4" w:space="1" w:color="auto"/>
          <w:right w:val="single" w:sz="4" w:space="4" w:color="auto"/>
        </w:pBdr>
        <w:jc w:val="center"/>
        <w:rPr>
          <w:rFonts w:ascii="Calibri" w:hAnsi="Calibri" w:cs="Arial"/>
          <w:b/>
          <w:sz w:val="22"/>
          <w:szCs w:val="22"/>
          <w:lang w:eastAsia="en-US"/>
        </w:rPr>
      </w:pPr>
    </w:p>
    <w:p w:rsidR="00E72AB8" w:rsidRPr="00E72AB8" w:rsidRDefault="00E72AB8" w:rsidP="00E72AB8">
      <w:pPr>
        <w:pBdr>
          <w:top w:val="single" w:sz="4" w:space="1" w:color="auto"/>
          <w:left w:val="single" w:sz="4" w:space="4" w:color="auto"/>
          <w:bottom w:val="single" w:sz="4" w:space="1" w:color="auto"/>
          <w:right w:val="single" w:sz="4" w:space="4" w:color="auto"/>
        </w:pBdr>
        <w:jc w:val="center"/>
        <w:rPr>
          <w:rFonts w:ascii="Calibri" w:hAnsi="Calibri" w:cs="Arial"/>
          <w:b/>
          <w:sz w:val="22"/>
          <w:szCs w:val="22"/>
          <w:lang w:eastAsia="en-US"/>
        </w:rPr>
      </w:pPr>
      <w:r w:rsidRPr="00E72AB8">
        <w:rPr>
          <w:rFonts w:ascii="Calibri" w:hAnsi="Calibri" w:cs="Arial"/>
          <w:b/>
          <w:sz w:val="22"/>
          <w:szCs w:val="22"/>
          <w:lang w:eastAsia="en-US"/>
        </w:rPr>
        <w:t xml:space="preserve">IMPORTANT FOOD SAFETY NOTICE: </w:t>
      </w:r>
    </w:p>
    <w:p w:rsidR="00E72AB8" w:rsidRPr="00E72AB8" w:rsidRDefault="00E72AB8" w:rsidP="00E72AB8">
      <w:pPr>
        <w:pBdr>
          <w:top w:val="single" w:sz="4" w:space="1" w:color="auto"/>
          <w:left w:val="single" w:sz="4" w:space="4" w:color="auto"/>
          <w:bottom w:val="single" w:sz="4" w:space="1" w:color="auto"/>
          <w:right w:val="single" w:sz="4" w:space="4" w:color="auto"/>
        </w:pBdr>
        <w:jc w:val="center"/>
        <w:rPr>
          <w:rFonts w:ascii="Calibri" w:hAnsi="Calibri" w:cs="Arial"/>
          <w:b/>
          <w:sz w:val="22"/>
          <w:szCs w:val="22"/>
          <w:lang w:eastAsia="en-US"/>
        </w:rPr>
      </w:pPr>
    </w:p>
    <w:p w:rsidR="00E72AB8" w:rsidRPr="00E72AB8" w:rsidRDefault="00E72AB8" w:rsidP="00E72AB8">
      <w:pPr>
        <w:pBdr>
          <w:top w:val="single" w:sz="4" w:space="1" w:color="auto"/>
          <w:left w:val="single" w:sz="4" w:space="4" w:color="auto"/>
          <w:bottom w:val="single" w:sz="4" w:space="1" w:color="auto"/>
          <w:right w:val="single" w:sz="4" w:space="4" w:color="auto"/>
        </w:pBdr>
        <w:jc w:val="center"/>
        <w:rPr>
          <w:rFonts w:ascii="Calibri" w:hAnsi="Calibri" w:cs="Arial"/>
          <w:b/>
          <w:sz w:val="22"/>
          <w:szCs w:val="22"/>
          <w:lang w:eastAsia="en-US"/>
        </w:rPr>
      </w:pPr>
      <w:r w:rsidRPr="00E72AB8">
        <w:rPr>
          <w:rFonts w:ascii="Calibri" w:hAnsi="Calibri" w:cs="Arial"/>
          <w:b/>
          <w:sz w:val="22"/>
          <w:szCs w:val="22"/>
          <w:lang w:eastAsia="en-US"/>
        </w:rPr>
        <w:t>SUPPLY OF WHOLE</w:t>
      </w:r>
      <w:r w:rsidR="0051164B">
        <w:rPr>
          <w:rFonts w:ascii="Calibri" w:hAnsi="Calibri" w:cs="Arial"/>
          <w:b/>
          <w:sz w:val="22"/>
          <w:szCs w:val="22"/>
          <w:lang w:eastAsia="en-US"/>
        </w:rPr>
        <w:t xml:space="preserve"> KING</w:t>
      </w:r>
      <w:r w:rsidRPr="00E72AB8">
        <w:rPr>
          <w:rFonts w:ascii="Calibri" w:hAnsi="Calibri" w:cs="Arial"/>
          <w:b/>
          <w:sz w:val="22"/>
          <w:szCs w:val="22"/>
          <w:lang w:eastAsia="en-US"/>
        </w:rPr>
        <w:t xml:space="preserve"> SCALLOPS</w:t>
      </w:r>
    </w:p>
    <w:p w:rsidR="00E72AB8" w:rsidRPr="00E72AB8" w:rsidRDefault="00E72AB8" w:rsidP="00E72AB8">
      <w:pPr>
        <w:pBdr>
          <w:top w:val="single" w:sz="4" w:space="1" w:color="auto"/>
          <w:left w:val="single" w:sz="4" w:space="4" w:color="auto"/>
          <w:bottom w:val="single" w:sz="4" w:space="1" w:color="auto"/>
          <w:right w:val="single" w:sz="4" w:space="4" w:color="auto"/>
        </w:pBdr>
        <w:jc w:val="center"/>
        <w:rPr>
          <w:rFonts w:ascii="Calibri" w:hAnsi="Calibri" w:cs="Arial"/>
          <w:b/>
          <w:sz w:val="22"/>
          <w:szCs w:val="22"/>
          <w:lang w:eastAsia="en-US"/>
        </w:rPr>
      </w:pPr>
    </w:p>
    <w:p w:rsidR="00E72AB8" w:rsidRPr="00E72AB8" w:rsidRDefault="00E72AB8" w:rsidP="00E72AB8">
      <w:pPr>
        <w:pBdr>
          <w:top w:val="single" w:sz="4" w:space="1" w:color="auto"/>
          <w:left w:val="single" w:sz="4" w:space="4" w:color="auto"/>
          <w:bottom w:val="single" w:sz="4" w:space="1" w:color="auto"/>
          <w:right w:val="single" w:sz="4" w:space="4" w:color="auto"/>
        </w:pBdr>
        <w:spacing w:after="200" w:line="276" w:lineRule="auto"/>
        <w:jc w:val="center"/>
        <w:rPr>
          <w:rFonts w:ascii="Calibri" w:eastAsia="Calibri" w:hAnsi="Calibri" w:cs="Arial"/>
          <w:b/>
          <w:color w:val="FF0000"/>
          <w:sz w:val="22"/>
          <w:szCs w:val="22"/>
          <w:lang w:eastAsia="en-US"/>
        </w:rPr>
      </w:pPr>
      <w:r w:rsidRPr="00E72AB8">
        <w:rPr>
          <w:rFonts w:ascii="Calibri" w:eastAsia="Calibri" w:hAnsi="Calibri" w:cs="Arial"/>
          <w:b/>
          <w:color w:val="FF0000"/>
          <w:sz w:val="22"/>
          <w:szCs w:val="22"/>
          <w:lang w:eastAsia="en-US"/>
        </w:rPr>
        <w:t>The edible part of the scallop is the white meat and orange roe.</w:t>
      </w:r>
    </w:p>
    <w:p w:rsidR="00E72AB8" w:rsidRPr="00E72AB8" w:rsidRDefault="00E72AB8" w:rsidP="00E72AB8">
      <w:pPr>
        <w:pBdr>
          <w:top w:val="single" w:sz="4" w:space="1" w:color="auto"/>
          <w:left w:val="single" w:sz="4" w:space="4" w:color="auto"/>
          <w:bottom w:val="single" w:sz="4" w:space="1" w:color="auto"/>
          <w:right w:val="single" w:sz="4" w:space="4" w:color="auto"/>
        </w:pBdr>
        <w:spacing w:line="276" w:lineRule="auto"/>
        <w:jc w:val="center"/>
        <w:rPr>
          <w:rFonts w:ascii="Calibri" w:eastAsia="Calibri" w:hAnsi="Calibri" w:cs="Arial"/>
          <w:b/>
          <w:color w:val="FF0000"/>
          <w:sz w:val="22"/>
          <w:szCs w:val="22"/>
          <w:lang w:eastAsia="en-US"/>
        </w:rPr>
      </w:pPr>
      <w:r w:rsidRPr="00E72AB8">
        <w:rPr>
          <w:rFonts w:ascii="Calibri" w:eastAsia="Calibri" w:hAnsi="Calibri" w:cs="Arial"/>
          <w:b/>
          <w:color w:val="FF0000"/>
          <w:sz w:val="22"/>
          <w:szCs w:val="22"/>
          <w:lang w:eastAsia="en-US"/>
        </w:rPr>
        <w:t xml:space="preserve">The other parts comprising the gut and frill  </w:t>
      </w:r>
    </w:p>
    <w:p w:rsidR="00E72AB8" w:rsidRPr="00E72AB8" w:rsidRDefault="00E72AB8" w:rsidP="00E72AB8">
      <w:pPr>
        <w:pBdr>
          <w:top w:val="single" w:sz="4" w:space="1" w:color="auto"/>
          <w:left w:val="single" w:sz="4" w:space="4" w:color="auto"/>
          <w:bottom w:val="single" w:sz="4" w:space="1" w:color="auto"/>
          <w:right w:val="single" w:sz="4" w:space="4" w:color="auto"/>
        </w:pBdr>
        <w:spacing w:line="276" w:lineRule="auto"/>
        <w:jc w:val="center"/>
        <w:rPr>
          <w:rFonts w:ascii="Calibri" w:eastAsia="Calibri" w:hAnsi="Calibri" w:cs="Arial"/>
          <w:b/>
          <w:color w:val="FF0000"/>
          <w:sz w:val="22"/>
          <w:szCs w:val="22"/>
          <w:lang w:eastAsia="en-US"/>
        </w:rPr>
      </w:pPr>
      <w:r w:rsidRPr="00E72AB8">
        <w:rPr>
          <w:rFonts w:ascii="Calibri" w:eastAsia="Calibri" w:hAnsi="Calibri" w:cs="Arial"/>
          <w:b/>
          <w:color w:val="FF0000"/>
          <w:sz w:val="22"/>
          <w:szCs w:val="22"/>
          <w:u w:val="single"/>
          <w:lang w:eastAsia="en-US"/>
        </w:rPr>
        <w:t>must NOT be consumed</w:t>
      </w:r>
      <w:r w:rsidRPr="00E72AB8">
        <w:rPr>
          <w:rFonts w:ascii="Calibri" w:eastAsia="Calibri" w:hAnsi="Calibri" w:cs="Arial"/>
          <w:b/>
          <w:color w:val="FF0000"/>
          <w:sz w:val="22"/>
          <w:szCs w:val="22"/>
          <w:lang w:eastAsia="en-US"/>
        </w:rPr>
        <w:t xml:space="preserve"> or used in food preparation.</w:t>
      </w:r>
    </w:p>
    <w:p w:rsidR="00E72AB8" w:rsidRPr="00E72AB8" w:rsidRDefault="00E72AB8" w:rsidP="00E72AB8">
      <w:pPr>
        <w:spacing w:after="200" w:line="276" w:lineRule="auto"/>
        <w:jc w:val="center"/>
        <w:rPr>
          <w:rFonts w:ascii="Calibri" w:eastAsia="Calibri" w:hAnsi="Calibri" w:cs="Arial"/>
          <w:b/>
          <w:color w:val="000000"/>
          <w:sz w:val="22"/>
          <w:szCs w:val="22"/>
          <w:lang w:eastAsia="en-US"/>
        </w:rPr>
      </w:pPr>
    </w:p>
    <w:p w:rsidR="00E72AB8" w:rsidRPr="00E72AB8" w:rsidRDefault="00E72AB8" w:rsidP="00E72AB8">
      <w:pPr>
        <w:spacing w:line="276" w:lineRule="auto"/>
        <w:jc w:val="both"/>
        <w:rPr>
          <w:rFonts w:ascii="Calibri" w:eastAsia="Calibri" w:hAnsi="Calibri" w:cs="Arial"/>
          <w:bCs/>
          <w:sz w:val="22"/>
          <w:szCs w:val="22"/>
          <w:lang w:eastAsia="en-US"/>
        </w:rPr>
      </w:pPr>
      <w:r w:rsidRPr="00E72AB8">
        <w:rPr>
          <w:rFonts w:ascii="Calibri" w:eastAsia="Calibri" w:hAnsi="Calibri" w:cs="Arial"/>
          <w:sz w:val="22"/>
          <w:szCs w:val="22"/>
          <w:lang w:eastAsia="en-US"/>
        </w:rPr>
        <w:t>Scallops may contain algal toxins derived from naturally occurring phytoplankton on which the scallops feed.</w:t>
      </w:r>
      <w:r w:rsidRPr="00E72AB8">
        <w:rPr>
          <w:rFonts w:ascii="Calibri" w:eastAsia="Calibri" w:hAnsi="Calibri" w:cs="Arial"/>
          <w:bCs/>
          <w:sz w:val="22"/>
          <w:szCs w:val="22"/>
          <w:lang w:eastAsia="en-US"/>
        </w:rPr>
        <w:t xml:space="preserve"> </w:t>
      </w:r>
      <w:r w:rsidRPr="00E72AB8">
        <w:rPr>
          <w:rFonts w:ascii="Calibri" w:eastAsia="Calibri" w:hAnsi="Calibri" w:cs="Arial"/>
          <w:sz w:val="22"/>
          <w:szCs w:val="22"/>
          <w:lang w:eastAsia="en-US"/>
        </w:rPr>
        <w:t xml:space="preserve">The gut (particularly the black sac or hepatopancreas), and the frill (skirt or mantle) contain the highest proportion of these toxins. </w:t>
      </w:r>
      <w:r w:rsidRPr="00E72AB8">
        <w:rPr>
          <w:rFonts w:ascii="Calibri" w:eastAsia="Calibri" w:hAnsi="Calibri" w:cs="Arial"/>
          <w:bCs/>
          <w:sz w:val="22"/>
          <w:szCs w:val="22"/>
          <w:lang w:eastAsia="en-US"/>
        </w:rPr>
        <w:t xml:space="preserve">These are the inedible parts must </w:t>
      </w:r>
      <w:r w:rsidRPr="00E72AB8">
        <w:rPr>
          <w:rFonts w:ascii="Calibri" w:eastAsia="Calibri" w:hAnsi="Calibri" w:cs="Arial"/>
          <w:bCs/>
          <w:sz w:val="22"/>
          <w:szCs w:val="22"/>
          <w:u w:val="single"/>
          <w:lang w:eastAsia="en-US"/>
        </w:rPr>
        <w:t>always be discarded and never used</w:t>
      </w:r>
      <w:r w:rsidRPr="00E72AB8">
        <w:rPr>
          <w:rFonts w:ascii="Calibri" w:eastAsia="Calibri" w:hAnsi="Calibri" w:cs="Arial"/>
          <w:bCs/>
          <w:sz w:val="22"/>
          <w:szCs w:val="22"/>
          <w:lang w:eastAsia="en-US"/>
        </w:rPr>
        <w:t xml:space="preserve"> in food preparation, e.g. for soups, stock, sauces, etc.  </w:t>
      </w:r>
    </w:p>
    <w:p w:rsidR="00E72AB8" w:rsidRPr="00E72AB8" w:rsidRDefault="00E72AB8" w:rsidP="00E72AB8">
      <w:pPr>
        <w:spacing w:line="276" w:lineRule="auto"/>
        <w:jc w:val="both"/>
        <w:rPr>
          <w:rFonts w:ascii="Calibri" w:eastAsia="Calibri" w:hAnsi="Calibri" w:cs="Arial"/>
          <w:bCs/>
          <w:sz w:val="22"/>
          <w:szCs w:val="22"/>
          <w:lang w:eastAsia="en-US"/>
        </w:rPr>
      </w:pPr>
    </w:p>
    <w:p w:rsidR="00E72AB8" w:rsidRPr="00E72AB8" w:rsidRDefault="00E72AB8" w:rsidP="00E72AB8">
      <w:pPr>
        <w:spacing w:line="276" w:lineRule="auto"/>
        <w:jc w:val="both"/>
        <w:rPr>
          <w:rFonts w:ascii="Calibri" w:eastAsia="Calibri" w:hAnsi="Calibri" w:cs="Arial"/>
          <w:bCs/>
          <w:sz w:val="22"/>
          <w:szCs w:val="22"/>
          <w:lang w:eastAsia="en-US"/>
        </w:rPr>
      </w:pPr>
      <w:r w:rsidRPr="00E72AB8">
        <w:rPr>
          <w:rFonts w:ascii="Calibri" w:eastAsia="Calibri" w:hAnsi="Calibri" w:cs="Arial"/>
          <w:bCs/>
          <w:sz w:val="22"/>
          <w:szCs w:val="22"/>
          <w:lang w:eastAsia="en-US"/>
        </w:rPr>
        <w:t xml:space="preserve">The edible parts should also be </w:t>
      </w:r>
      <w:r w:rsidRPr="00E72AB8">
        <w:rPr>
          <w:rFonts w:ascii="Calibri" w:eastAsia="Calibri" w:hAnsi="Calibri" w:cs="Arial"/>
          <w:bCs/>
          <w:sz w:val="22"/>
          <w:szCs w:val="22"/>
          <w:u w:val="single"/>
          <w:lang w:eastAsia="en-US"/>
        </w:rPr>
        <w:t>washed</w:t>
      </w:r>
      <w:r w:rsidRPr="00E72AB8">
        <w:rPr>
          <w:rFonts w:ascii="Calibri" w:eastAsia="Calibri" w:hAnsi="Calibri" w:cs="Arial"/>
          <w:bCs/>
          <w:sz w:val="22"/>
          <w:szCs w:val="22"/>
          <w:lang w:eastAsia="en-US"/>
        </w:rPr>
        <w:t xml:space="preserve"> after removal in order to remove any remaining small pieces of the gut.</w:t>
      </w:r>
    </w:p>
    <w:p w:rsidR="00E72AB8" w:rsidRPr="00E72AB8" w:rsidRDefault="00E72AB8" w:rsidP="00E72AB8">
      <w:pPr>
        <w:spacing w:line="276" w:lineRule="auto"/>
        <w:jc w:val="both"/>
        <w:rPr>
          <w:rFonts w:ascii="Calibri" w:eastAsia="Calibri" w:hAnsi="Calibri" w:cs="Arial"/>
          <w:sz w:val="22"/>
          <w:szCs w:val="22"/>
          <w:lang w:eastAsia="en-US"/>
        </w:rPr>
      </w:pPr>
    </w:p>
    <w:p w:rsidR="00093884"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If you obtain whole</w:t>
      </w:r>
      <w:r w:rsidR="0051164B">
        <w:rPr>
          <w:rFonts w:ascii="Calibri" w:eastAsia="Calibri" w:hAnsi="Calibri" w:cs="Arial"/>
          <w:sz w:val="22"/>
          <w:szCs w:val="22"/>
          <w:lang w:eastAsia="en-US"/>
        </w:rPr>
        <w:t xml:space="preserve"> king</w:t>
      </w:r>
      <w:r w:rsidRPr="00E72AB8">
        <w:rPr>
          <w:rFonts w:ascii="Calibri" w:eastAsia="Calibri" w:hAnsi="Calibri" w:cs="Arial"/>
          <w:sz w:val="22"/>
          <w:szCs w:val="22"/>
          <w:lang w:eastAsia="en-US"/>
        </w:rPr>
        <w:t xml:space="preserve"> scallops from us you must agree to undertake the effective removal of the inedible parts. </w:t>
      </w:r>
      <w:r w:rsidR="00093884">
        <w:rPr>
          <w:rFonts w:ascii="Calibri" w:eastAsia="Calibri" w:hAnsi="Calibri" w:cs="Arial"/>
          <w:sz w:val="22"/>
          <w:szCs w:val="22"/>
          <w:lang w:eastAsia="en-US"/>
        </w:rPr>
        <w:t xml:space="preserve"> Your staff must be adequately trained in accordance with the requirement set out in EC regulation 852/2004, and your HACCP must reflect the hazard and process steps required to mitigate THIS RISK.  You should inform your local authority of your intention to process scallops in this way.</w:t>
      </w:r>
    </w:p>
    <w:p w:rsidR="00093884" w:rsidRDefault="00093884"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 xml:space="preserve">The cutting out of the edible parts is termed shucking. </w:t>
      </w:r>
      <w:r w:rsidR="00811D25">
        <w:rPr>
          <w:rFonts w:ascii="Calibri" w:eastAsia="Calibri" w:hAnsi="Calibri" w:cs="Arial"/>
          <w:sz w:val="22"/>
          <w:szCs w:val="22"/>
          <w:lang w:eastAsia="en-US"/>
        </w:rPr>
        <w:t xml:space="preserve"> </w:t>
      </w:r>
      <w:r w:rsidRPr="00E72AB8">
        <w:rPr>
          <w:rFonts w:ascii="Calibri" w:eastAsia="Calibri" w:hAnsi="Calibri" w:cs="Arial"/>
          <w:sz w:val="22"/>
          <w:szCs w:val="22"/>
          <w:lang w:eastAsia="en-US"/>
        </w:rPr>
        <w:t>Advice on safe shucking can be obtained from</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410BD9">
      <w:pPr>
        <w:numPr>
          <w:ilvl w:val="0"/>
          <w:numId w:val="12"/>
        </w:numPr>
        <w:spacing w:after="200" w:line="276" w:lineRule="auto"/>
        <w:contextualSpacing/>
        <w:jc w:val="both"/>
        <w:rPr>
          <w:rFonts w:ascii="Calibri" w:eastAsia="Calibri" w:hAnsi="Calibri" w:cs="Arial"/>
          <w:sz w:val="22"/>
          <w:szCs w:val="22"/>
          <w:lang w:eastAsia="en-US"/>
        </w:rPr>
      </w:pPr>
      <w:r w:rsidRPr="00E72AB8">
        <w:rPr>
          <w:rFonts w:ascii="Calibri" w:eastAsia="Calibri" w:hAnsi="Calibri" w:cs="Arial"/>
          <w:sz w:val="22"/>
          <w:szCs w:val="22"/>
          <w:lang w:eastAsia="en-US"/>
        </w:rPr>
        <w:t>Us, your supplier</w:t>
      </w:r>
    </w:p>
    <w:p w:rsidR="00E72AB8" w:rsidRPr="00E72AB8" w:rsidRDefault="00E72AB8" w:rsidP="00410BD9">
      <w:pPr>
        <w:numPr>
          <w:ilvl w:val="0"/>
          <w:numId w:val="12"/>
        </w:numPr>
        <w:spacing w:after="200" w:line="276" w:lineRule="auto"/>
        <w:contextualSpacing/>
        <w:jc w:val="both"/>
        <w:rPr>
          <w:rFonts w:ascii="Calibri" w:eastAsia="Calibri" w:hAnsi="Calibri" w:cs="Arial"/>
          <w:sz w:val="22"/>
          <w:szCs w:val="22"/>
          <w:lang w:eastAsia="en-US"/>
        </w:rPr>
      </w:pPr>
      <w:r w:rsidRPr="00E72AB8">
        <w:rPr>
          <w:rFonts w:ascii="Calibri" w:eastAsia="Calibri" w:hAnsi="Calibri" w:cs="Arial"/>
          <w:sz w:val="22"/>
          <w:szCs w:val="22"/>
          <w:lang w:eastAsia="en-US"/>
        </w:rPr>
        <w:t>F</w:t>
      </w:r>
      <w:r>
        <w:rPr>
          <w:rFonts w:ascii="Calibri" w:eastAsia="Calibri" w:hAnsi="Calibri" w:cs="Arial"/>
          <w:sz w:val="22"/>
          <w:szCs w:val="22"/>
          <w:lang w:eastAsia="en-US"/>
        </w:rPr>
        <w:t xml:space="preserve">SS </w:t>
      </w:r>
      <w:r w:rsidRPr="00E72AB8">
        <w:rPr>
          <w:rFonts w:ascii="Calibri" w:eastAsia="Calibri" w:hAnsi="Calibri" w:cs="Arial"/>
          <w:sz w:val="22"/>
          <w:szCs w:val="22"/>
          <w:lang w:eastAsia="en-US"/>
        </w:rPr>
        <w:t>Training Aid ‘</w:t>
      </w:r>
      <w:r w:rsidRPr="00E72AB8">
        <w:rPr>
          <w:rFonts w:ascii="Calibri" w:eastAsia="Calibri" w:hAnsi="Calibri" w:cs="Arial"/>
          <w:b/>
          <w:sz w:val="22"/>
          <w:szCs w:val="22"/>
          <w:lang w:eastAsia="en-US"/>
        </w:rPr>
        <w:t>Preparation of king scallops and visual checks of shucking quality’</w:t>
      </w:r>
      <w:r w:rsidRPr="00E72AB8">
        <w:rPr>
          <w:rFonts w:ascii="Calibri" w:eastAsia="Calibri" w:hAnsi="Calibri" w:cs="Arial"/>
          <w:b/>
          <w:sz w:val="22"/>
          <w:szCs w:val="22"/>
          <w:vertAlign w:val="superscript"/>
          <w:lang w:eastAsia="en-US"/>
        </w:rPr>
        <w:footnoteReference w:id="15"/>
      </w:r>
      <w:r w:rsidRPr="00E72AB8">
        <w:rPr>
          <w:rFonts w:ascii="Calibri" w:eastAsia="Calibri" w:hAnsi="Calibri" w:cs="Arial"/>
          <w:b/>
          <w:sz w:val="22"/>
          <w:szCs w:val="22"/>
          <w:vertAlign w:val="superscript"/>
          <w:lang w:eastAsia="en-US"/>
        </w:rPr>
        <w:t xml:space="preserve"> </w:t>
      </w:r>
      <w:r w:rsidRPr="00E72AB8">
        <w:rPr>
          <w:rFonts w:ascii="Calibri" w:eastAsia="Calibri" w:hAnsi="Calibri" w:cs="Arial"/>
          <w:sz w:val="22"/>
          <w:szCs w:val="22"/>
          <w:lang w:eastAsia="en-US"/>
        </w:rPr>
        <w:t xml:space="preserve">available from </w:t>
      </w:r>
      <w:r w:rsidR="00FB5B8A">
        <w:rPr>
          <w:rFonts w:ascii="Calibri" w:eastAsia="Calibri" w:hAnsi="Calibri" w:cs="Arial"/>
          <w:sz w:val="22"/>
          <w:szCs w:val="22"/>
          <w:lang w:eastAsia="en-US"/>
        </w:rPr>
        <w:t>[SEE ANNEX A]</w:t>
      </w:r>
      <w:r w:rsidRPr="00E72AB8">
        <w:rPr>
          <w:rFonts w:ascii="Calibri" w:eastAsia="Calibri" w:hAnsi="Calibri" w:cs="Arial"/>
          <w:sz w:val="22"/>
          <w:szCs w:val="22"/>
          <w:lang w:eastAsia="en-US"/>
        </w:rPr>
        <w:t>……………….and on line at ……………..</w:t>
      </w:r>
    </w:p>
    <w:p w:rsidR="00E72AB8" w:rsidRPr="00E72AB8" w:rsidRDefault="00E72AB8" w:rsidP="00410BD9">
      <w:pPr>
        <w:numPr>
          <w:ilvl w:val="0"/>
          <w:numId w:val="12"/>
        </w:numPr>
        <w:spacing w:after="200" w:line="276" w:lineRule="auto"/>
        <w:contextualSpacing/>
        <w:rPr>
          <w:rFonts w:ascii="Calibri" w:eastAsia="Calibri" w:hAnsi="Calibri" w:cs="Arial"/>
          <w:sz w:val="22"/>
          <w:szCs w:val="22"/>
          <w:lang w:eastAsia="en-US"/>
        </w:rPr>
      </w:pPr>
      <w:proofErr w:type="spellStart"/>
      <w:r w:rsidRPr="00E72AB8">
        <w:rPr>
          <w:rFonts w:ascii="Calibri" w:eastAsia="Calibri" w:hAnsi="Calibri" w:cs="Arial"/>
          <w:sz w:val="22"/>
          <w:szCs w:val="22"/>
          <w:lang w:eastAsia="en-US"/>
        </w:rPr>
        <w:lastRenderedPageBreak/>
        <w:t>SeaFish</w:t>
      </w:r>
      <w:proofErr w:type="spellEnd"/>
      <w:r w:rsidRPr="00E72AB8">
        <w:rPr>
          <w:rFonts w:ascii="Calibri" w:eastAsia="Calibri" w:hAnsi="Calibri" w:cs="Arial"/>
          <w:sz w:val="22"/>
          <w:szCs w:val="22"/>
          <w:lang w:eastAsia="en-US"/>
        </w:rPr>
        <w:t xml:space="preserve"> DVD (3.5 min long), ‘</w:t>
      </w:r>
      <w:r w:rsidRPr="00E72AB8">
        <w:rPr>
          <w:rFonts w:ascii="Calibri" w:eastAsia="Calibri" w:hAnsi="Calibri" w:cs="Arial"/>
          <w:b/>
          <w:sz w:val="22"/>
          <w:szCs w:val="22"/>
          <w:lang w:eastAsia="en-US"/>
        </w:rPr>
        <w:t xml:space="preserve">Scallop Preparation’ </w:t>
      </w:r>
      <w:r w:rsidRPr="00E72AB8">
        <w:rPr>
          <w:rFonts w:ascii="Calibri" w:eastAsia="Calibri" w:hAnsi="Calibri" w:cs="Arial"/>
          <w:sz w:val="22"/>
          <w:szCs w:val="22"/>
          <w:lang w:eastAsia="en-US"/>
        </w:rPr>
        <w:t>published Jan 5</w:t>
      </w:r>
      <w:r w:rsidRPr="00E72AB8">
        <w:rPr>
          <w:rFonts w:ascii="Calibri" w:eastAsia="Calibri" w:hAnsi="Calibri" w:cs="Arial"/>
          <w:sz w:val="22"/>
          <w:szCs w:val="22"/>
          <w:vertAlign w:val="superscript"/>
          <w:lang w:eastAsia="en-US"/>
        </w:rPr>
        <w:t>th</w:t>
      </w:r>
      <w:r w:rsidRPr="00E72AB8">
        <w:rPr>
          <w:rFonts w:ascii="Calibri" w:eastAsia="Calibri" w:hAnsi="Calibri" w:cs="Arial"/>
          <w:sz w:val="22"/>
          <w:szCs w:val="22"/>
          <w:lang w:eastAsia="en-US"/>
        </w:rPr>
        <w:t xml:space="preserve"> 2013 and available on YouTube </w:t>
      </w:r>
      <w:hyperlink r:id="rId37" w:history="1">
        <w:r w:rsidRPr="00E72AB8">
          <w:rPr>
            <w:rFonts w:ascii="Calibri" w:eastAsia="Calibri" w:hAnsi="Calibri" w:cs="Arial"/>
            <w:color w:val="0000FF"/>
            <w:u w:val="single"/>
            <w:shd w:val="clear" w:color="auto" w:fill="FFFFFF"/>
            <w:lang w:eastAsia="en-US"/>
          </w:rPr>
          <w:t>www.</w:t>
        </w:r>
        <w:r w:rsidRPr="00E72AB8">
          <w:rPr>
            <w:rFonts w:ascii="Calibri" w:eastAsia="Calibri" w:hAnsi="Calibri" w:cs="Arial"/>
            <w:b/>
            <w:bCs/>
            <w:color w:val="0000FF"/>
            <w:u w:val="single"/>
            <w:shd w:val="clear" w:color="auto" w:fill="FFFFFF"/>
            <w:lang w:eastAsia="en-US"/>
          </w:rPr>
          <w:t>youtube.com/watch</w:t>
        </w:r>
        <w:r w:rsidRPr="00E72AB8">
          <w:rPr>
            <w:rFonts w:ascii="Calibri" w:eastAsia="Calibri" w:hAnsi="Calibri" w:cs="Arial"/>
            <w:color w:val="0000FF"/>
            <w:u w:val="single"/>
            <w:shd w:val="clear" w:color="auto" w:fill="FFFFFF"/>
            <w:lang w:eastAsia="en-US"/>
          </w:rPr>
          <w:t>?</w:t>
        </w:r>
        <w:r w:rsidRPr="00E72AB8">
          <w:rPr>
            <w:rFonts w:ascii="Calibri" w:eastAsia="Calibri" w:hAnsi="Calibri" w:cs="Arial"/>
            <w:b/>
            <w:bCs/>
            <w:color w:val="0000FF"/>
            <w:u w:val="single"/>
            <w:shd w:val="clear" w:color="auto" w:fill="FFFFFF"/>
            <w:lang w:eastAsia="en-US"/>
          </w:rPr>
          <w:t>v</w:t>
        </w:r>
        <w:r w:rsidRPr="00E72AB8">
          <w:rPr>
            <w:rFonts w:ascii="Calibri" w:eastAsia="Calibri" w:hAnsi="Calibri" w:cs="Arial"/>
            <w:color w:val="0000FF"/>
            <w:u w:val="single"/>
            <w:shd w:val="clear" w:color="auto" w:fill="FFFFFF"/>
            <w:lang w:eastAsia="en-US"/>
          </w:rPr>
          <w:t>=</w:t>
        </w:r>
        <w:r w:rsidRPr="00E72AB8">
          <w:rPr>
            <w:rFonts w:ascii="Calibri" w:eastAsia="Calibri" w:hAnsi="Calibri" w:cs="Arial"/>
            <w:b/>
            <w:bCs/>
            <w:color w:val="0000FF"/>
            <w:u w:val="single"/>
            <w:shd w:val="clear" w:color="auto" w:fill="FFFFFF"/>
            <w:lang w:eastAsia="en-US"/>
          </w:rPr>
          <w:t>7jZrviH_z5E</w:t>
        </w:r>
      </w:hyperlink>
    </w:p>
    <w:p w:rsidR="00E72AB8" w:rsidRPr="00E72AB8" w:rsidRDefault="00E72AB8" w:rsidP="00410BD9">
      <w:pPr>
        <w:numPr>
          <w:ilvl w:val="0"/>
          <w:numId w:val="12"/>
        </w:numPr>
        <w:spacing w:after="200" w:line="276" w:lineRule="auto"/>
        <w:contextualSpacing/>
        <w:jc w:val="both"/>
        <w:rPr>
          <w:rFonts w:ascii="Calibri" w:eastAsia="Calibri" w:hAnsi="Calibri" w:cs="Arial"/>
          <w:sz w:val="22"/>
          <w:szCs w:val="22"/>
          <w:lang w:eastAsia="en-US"/>
        </w:rPr>
      </w:pPr>
      <w:proofErr w:type="spellStart"/>
      <w:r w:rsidRPr="00E72AB8">
        <w:rPr>
          <w:rFonts w:ascii="Calibri" w:eastAsia="Calibri" w:hAnsi="Calibri" w:cs="Arial"/>
          <w:sz w:val="22"/>
          <w:szCs w:val="22"/>
          <w:lang w:eastAsia="en-US"/>
        </w:rPr>
        <w:t>SeaFish</w:t>
      </w:r>
      <w:proofErr w:type="spellEnd"/>
      <w:r w:rsidRPr="00E72AB8">
        <w:rPr>
          <w:rFonts w:ascii="Calibri" w:eastAsia="Calibri" w:hAnsi="Calibri" w:cs="Arial"/>
          <w:sz w:val="22"/>
          <w:szCs w:val="22"/>
          <w:lang w:eastAsia="en-US"/>
        </w:rPr>
        <w:t xml:space="preserve"> ‘Scallop handling and shucking practices’ 2</w:t>
      </w:r>
      <w:r w:rsidRPr="00E72AB8">
        <w:rPr>
          <w:rFonts w:ascii="Calibri" w:eastAsia="Calibri" w:hAnsi="Calibri" w:cs="Arial"/>
          <w:sz w:val="22"/>
          <w:szCs w:val="22"/>
          <w:vertAlign w:val="superscript"/>
          <w:lang w:eastAsia="en-US"/>
        </w:rPr>
        <w:t>nd</w:t>
      </w:r>
      <w:r w:rsidRPr="00E72AB8">
        <w:rPr>
          <w:rFonts w:ascii="Calibri" w:eastAsia="Calibri" w:hAnsi="Calibri" w:cs="Arial"/>
          <w:sz w:val="22"/>
          <w:szCs w:val="22"/>
          <w:lang w:eastAsia="en-US"/>
        </w:rPr>
        <w:t xml:space="preserve"> Edition Seafish Industry authority 2006</w:t>
      </w:r>
      <w:r w:rsidRPr="00E72AB8">
        <w:rPr>
          <w:rFonts w:ascii="Calibri" w:eastAsia="Calibri" w:hAnsi="Calibri"/>
          <w:sz w:val="22"/>
          <w:szCs w:val="22"/>
          <w:lang w:eastAsia="en-US"/>
        </w:rPr>
        <w:t xml:space="preserve"> </w:t>
      </w:r>
      <w:hyperlink r:id="rId38" w:history="1">
        <w:r w:rsidRPr="00E72AB8">
          <w:rPr>
            <w:rFonts w:ascii="Calibri" w:eastAsia="Calibri" w:hAnsi="Calibri" w:cs="Arial"/>
            <w:color w:val="0000FF"/>
            <w:sz w:val="22"/>
            <w:szCs w:val="22"/>
            <w:u w:val="single"/>
            <w:lang w:eastAsia="en-US"/>
          </w:rPr>
          <w:t>http://www.seafoodacademy.org/LinkedDocuments/scallops/Scallop%20Coaching%20Pack%202nd%20Ed.pdf</w:t>
        </w:r>
      </w:hyperlink>
    </w:p>
    <w:p w:rsidR="00E72AB8" w:rsidRPr="00E72AB8" w:rsidRDefault="00E72AB8" w:rsidP="00410BD9">
      <w:pPr>
        <w:numPr>
          <w:ilvl w:val="0"/>
          <w:numId w:val="12"/>
        </w:numPr>
        <w:spacing w:after="200" w:line="276" w:lineRule="auto"/>
        <w:contextualSpacing/>
        <w:rPr>
          <w:rFonts w:ascii="Calibri" w:eastAsia="Calibri" w:hAnsi="Calibri"/>
          <w:b/>
          <w:sz w:val="22"/>
          <w:szCs w:val="22"/>
          <w:lang w:eastAsia="en-US"/>
        </w:rPr>
      </w:pPr>
      <w:r w:rsidRPr="00E72AB8">
        <w:rPr>
          <w:rFonts w:ascii="Calibri" w:eastAsia="Calibri" w:hAnsi="Calibri" w:cs="Arial"/>
          <w:sz w:val="22"/>
          <w:szCs w:val="22"/>
          <w:lang w:eastAsia="en-US"/>
        </w:rPr>
        <w:t xml:space="preserve">Additional information for your inclusion in your HACCP </w:t>
      </w:r>
      <w:r w:rsidRPr="00E72AB8">
        <w:rPr>
          <w:rFonts w:ascii="Calibri" w:eastAsia="Calibri" w:hAnsi="Calibri"/>
          <w:b/>
          <w:sz w:val="22"/>
          <w:szCs w:val="22"/>
          <w:lang w:eastAsia="en-US"/>
        </w:rPr>
        <w:t xml:space="preserve">PREPARATION OF </w:t>
      </w:r>
      <w:r w:rsidRPr="00E72AB8">
        <w:rPr>
          <w:rFonts w:ascii="Calibri" w:eastAsia="Calibri" w:hAnsi="Calibri" w:cs="Arial"/>
          <w:b/>
          <w:sz w:val="22"/>
          <w:szCs w:val="22"/>
          <w:lang w:eastAsia="en-US"/>
        </w:rPr>
        <w:t xml:space="preserve">KING SCALLOPS </w:t>
      </w:r>
      <w:proofErr w:type="spellStart"/>
      <w:r w:rsidRPr="00E72AB8">
        <w:rPr>
          <w:rFonts w:ascii="Calibri" w:eastAsia="Calibri" w:hAnsi="Calibri" w:cs="Arial"/>
          <w:b/>
          <w:i/>
          <w:sz w:val="22"/>
          <w:szCs w:val="22"/>
          <w:lang w:eastAsia="en-US"/>
        </w:rPr>
        <w:t>Pecten</w:t>
      </w:r>
      <w:proofErr w:type="spellEnd"/>
      <w:r w:rsidRPr="00E72AB8">
        <w:rPr>
          <w:rFonts w:ascii="Calibri" w:eastAsia="Calibri" w:hAnsi="Calibri" w:cs="Arial"/>
          <w:b/>
          <w:i/>
          <w:sz w:val="22"/>
          <w:szCs w:val="22"/>
          <w:lang w:eastAsia="en-US"/>
        </w:rPr>
        <w:t xml:space="preserve"> </w:t>
      </w:r>
      <w:proofErr w:type="spellStart"/>
      <w:r w:rsidRPr="00E72AB8">
        <w:rPr>
          <w:rFonts w:ascii="Calibri" w:eastAsia="Calibri" w:hAnsi="Calibri" w:cs="Arial"/>
          <w:b/>
          <w:i/>
          <w:sz w:val="22"/>
          <w:szCs w:val="22"/>
          <w:lang w:eastAsia="en-US"/>
        </w:rPr>
        <w:t>maximus</w:t>
      </w:r>
      <w:proofErr w:type="spellEnd"/>
      <w:r w:rsidRPr="00E72AB8">
        <w:rPr>
          <w:rFonts w:ascii="Calibri" w:eastAsia="Calibri" w:hAnsi="Calibri"/>
          <w:b/>
          <w:sz w:val="22"/>
          <w:szCs w:val="22"/>
          <w:lang w:eastAsia="en-US"/>
        </w:rPr>
        <w:t xml:space="preserve"> RECEIVED WHOLE (LIVE IN SHELL)</w:t>
      </w:r>
      <w:r w:rsidRPr="00E72AB8">
        <w:rPr>
          <w:rFonts w:ascii="Calibri" w:eastAsia="Calibri" w:hAnsi="Calibri"/>
          <w:b/>
          <w:sz w:val="22"/>
          <w:szCs w:val="22"/>
          <w:vertAlign w:val="superscript"/>
          <w:lang w:eastAsia="en-US"/>
        </w:rPr>
        <w:footnoteReference w:id="16"/>
      </w:r>
      <w:r w:rsidRPr="00E72AB8">
        <w:rPr>
          <w:rFonts w:ascii="Calibri" w:eastAsia="Calibri" w:hAnsi="Calibri"/>
          <w:b/>
          <w:sz w:val="22"/>
          <w:szCs w:val="22"/>
          <w:lang w:eastAsia="en-US"/>
        </w:rPr>
        <w:t xml:space="preserve"> </w:t>
      </w:r>
      <w:r w:rsidRPr="00E72AB8">
        <w:rPr>
          <w:rFonts w:ascii="Calibri" w:eastAsia="Calibri" w:hAnsi="Calibri" w:cs="Arial"/>
          <w:sz w:val="22"/>
          <w:szCs w:val="22"/>
          <w:lang w:eastAsia="en-US"/>
        </w:rPr>
        <w:t>is available on line at……………………………………….</w:t>
      </w:r>
    </w:p>
    <w:p w:rsidR="00E72AB8" w:rsidRPr="00E72AB8" w:rsidRDefault="00E72AB8" w:rsidP="00E72AB8">
      <w:pPr>
        <w:spacing w:after="200" w:line="276" w:lineRule="auto"/>
        <w:rPr>
          <w:rFonts w:ascii="Calibri" w:eastAsia="Calibri" w:hAnsi="Calibri" w:cs="Arial"/>
          <w:b/>
          <w:sz w:val="22"/>
          <w:szCs w:val="22"/>
          <w:lang w:eastAsia="en-US"/>
        </w:rPr>
      </w:pPr>
    </w:p>
    <w:p w:rsidR="00E72AB8" w:rsidRPr="00E72AB8" w:rsidRDefault="00E72AB8" w:rsidP="00E72AB8">
      <w:pPr>
        <w:spacing w:line="276" w:lineRule="auto"/>
        <w:jc w:val="both"/>
        <w:rPr>
          <w:rFonts w:ascii="Calibri" w:eastAsia="Calibri" w:hAnsi="Calibri" w:cs="Arial"/>
          <w:b/>
          <w:sz w:val="22"/>
          <w:szCs w:val="22"/>
          <w:lang w:eastAsia="en-US"/>
        </w:rPr>
      </w:pPr>
      <w:r w:rsidRPr="00E72AB8">
        <w:rPr>
          <w:rFonts w:ascii="Calibri" w:eastAsia="Calibri" w:hAnsi="Calibri" w:cs="Arial"/>
          <w:b/>
          <w:sz w:val="22"/>
          <w:szCs w:val="22"/>
          <w:lang w:eastAsia="en-US"/>
        </w:rPr>
        <w:t>We would be grateful if you would sign below and return this letter (</w:t>
      </w:r>
      <w:r w:rsidRPr="00E72AB8">
        <w:rPr>
          <w:rFonts w:ascii="Calibri" w:eastAsia="Calibri" w:hAnsi="Calibri" w:cs="Arial"/>
          <w:b/>
          <w:i/>
          <w:sz w:val="22"/>
          <w:szCs w:val="22"/>
          <w:lang w:eastAsia="en-US"/>
        </w:rPr>
        <w:t xml:space="preserve">email address) </w:t>
      </w:r>
      <w:r w:rsidRPr="00E72AB8">
        <w:rPr>
          <w:rFonts w:ascii="Calibri" w:eastAsia="Calibri" w:hAnsi="Calibri" w:cs="Arial"/>
          <w:b/>
          <w:sz w:val="22"/>
          <w:szCs w:val="22"/>
          <w:lang w:eastAsia="en-US"/>
        </w:rPr>
        <w:t xml:space="preserve">to enable us to know that all our customers are aware of this safety advice – we suggest you keep a copy for your own records. Please note we will also advise our EHO of customers who receive whole scallops. </w:t>
      </w:r>
      <w:r w:rsidR="00093884">
        <w:rPr>
          <w:rFonts w:ascii="Calibri" w:eastAsia="Calibri" w:hAnsi="Calibri" w:cs="Arial"/>
          <w:b/>
          <w:sz w:val="22"/>
          <w:szCs w:val="22"/>
          <w:lang w:eastAsia="en-US"/>
        </w:rPr>
        <w:t xml:space="preserve"> Please send a signed copy of this letter to your EHO.</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If you have any queries or wish to discuss any aspect of the above then please do not hesitate to contact me.</w:t>
      </w:r>
      <w:r w:rsidR="005D3B8C">
        <w:rPr>
          <w:rFonts w:ascii="Calibri" w:eastAsia="Calibri" w:hAnsi="Calibri" w:cs="Arial"/>
          <w:sz w:val="22"/>
          <w:szCs w:val="22"/>
          <w:lang w:eastAsia="en-US"/>
        </w:rPr>
        <w:t xml:space="preserve">  A copy of this letter has been sent to our local authority.</w:t>
      </w: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Yours sincerely,</w:t>
      </w:r>
    </w:p>
    <w:p w:rsidR="00E72AB8" w:rsidRPr="00E72AB8" w:rsidRDefault="00E72AB8" w:rsidP="00E72AB8">
      <w:pPr>
        <w:spacing w:line="276" w:lineRule="auto"/>
        <w:jc w:val="both"/>
        <w:rPr>
          <w:rFonts w:ascii="Calibri" w:eastAsia="Calibri" w:hAnsi="Calibri"/>
          <w:noProof/>
          <w:sz w:val="22"/>
          <w:szCs w:val="22"/>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noProof/>
          <w:sz w:val="22"/>
          <w:szCs w:val="22"/>
        </w:rPr>
        <w:t>Signed ____________________________</w:t>
      </w:r>
    </w:p>
    <w:p w:rsidR="00E72AB8" w:rsidRPr="00E72AB8" w:rsidRDefault="00E72AB8" w:rsidP="00E72AB8">
      <w:pPr>
        <w:spacing w:line="276" w:lineRule="auto"/>
        <w:jc w:val="both"/>
        <w:rPr>
          <w:rFonts w:ascii="Calibri" w:eastAsia="Calibri" w:hAnsi="Calibri" w:cs="Arial"/>
          <w:b/>
          <w:sz w:val="22"/>
          <w:szCs w:val="22"/>
          <w:lang w:eastAsia="en-US"/>
        </w:rPr>
      </w:pPr>
    </w:p>
    <w:p w:rsidR="00E72AB8" w:rsidRPr="00E72AB8" w:rsidRDefault="00E72AB8" w:rsidP="00E72AB8">
      <w:pPr>
        <w:spacing w:line="276" w:lineRule="auto"/>
        <w:jc w:val="both"/>
        <w:rPr>
          <w:rFonts w:ascii="Calibri" w:eastAsia="Calibri" w:hAnsi="Calibri" w:cs="Arial"/>
          <w:b/>
          <w:sz w:val="22"/>
          <w:szCs w:val="22"/>
          <w:lang w:eastAsia="en-US"/>
        </w:rPr>
      </w:pPr>
      <w:r w:rsidRPr="00E72AB8">
        <w:rPr>
          <w:rFonts w:ascii="Calibri" w:eastAsia="Calibri" w:hAnsi="Calibri" w:cs="Arial"/>
          <w:b/>
          <w:sz w:val="22"/>
          <w:szCs w:val="22"/>
          <w:lang w:eastAsia="en-US"/>
        </w:rPr>
        <w:t xml:space="preserve">Print Name  </w:t>
      </w:r>
    </w:p>
    <w:p w:rsidR="00E72AB8" w:rsidRPr="00E72AB8" w:rsidRDefault="00E72AB8" w:rsidP="00E72AB8">
      <w:pPr>
        <w:spacing w:line="276" w:lineRule="auto"/>
        <w:jc w:val="both"/>
        <w:rPr>
          <w:rFonts w:ascii="Calibri" w:eastAsia="Calibri" w:hAnsi="Calibri" w:cs="Arial"/>
          <w:b/>
          <w:sz w:val="22"/>
          <w:szCs w:val="22"/>
          <w:lang w:eastAsia="en-US"/>
        </w:rPr>
      </w:pPr>
    </w:p>
    <w:p w:rsidR="00E72AB8" w:rsidRPr="00E72AB8" w:rsidRDefault="00E72AB8" w:rsidP="00E72AB8">
      <w:pPr>
        <w:spacing w:line="276" w:lineRule="auto"/>
        <w:jc w:val="both"/>
        <w:rPr>
          <w:rFonts w:ascii="Calibri" w:eastAsia="Calibri" w:hAnsi="Calibri" w:cs="Arial"/>
          <w:b/>
          <w:sz w:val="22"/>
          <w:szCs w:val="22"/>
          <w:lang w:eastAsia="en-US"/>
        </w:rPr>
      </w:pPr>
      <w:r w:rsidRPr="00E72AB8">
        <w:rPr>
          <w:rFonts w:ascii="Calibri" w:eastAsia="Calibri" w:hAnsi="Calibri" w:cs="Arial"/>
          <w:b/>
          <w:sz w:val="22"/>
          <w:szCs w:val="22"/>
          <w:lang w:eastAsia="en-US"/>
        </w:rPr>
        <w:t>Position Company Managing Director or Head Chef</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ind w:right="-316"/>
        <w:jc w:val="both"/>
        <w:rPr>
          <w:rFonts w:ascii="Calibri" w:eastAsia="Calibri" w:hAnsi="Calibri" w:cs="Arial"/>
          <w:sz w:val="22"/>
          <w:szCs w:val="22"/>
          <w:lang w:eastAsia="en-US"/>
        </w:rPr>
      </w:pPr>
      <w:r w:rsidRPr="00E72AB8">
        <w:rPr>
          <w:rFonts w:ascii="Calibri" w:eastAsia="Calibri" w:hAnsi="Calibri" w:cs="Arial"/>
          <w:sz w:val="22"/>
          <w:szCs w:val="22"/>
          <w:lang w:eastAsia="en-US"/>
        </w:rPr>
        <w:t>Restaurant: Name……………………………………………………….</w:t>
      </w:r>
    </w:p>
    <w:p w:rsidR="00E72AB8" w:rsidRPr="00E72AB8" w:rsidRDefault="00E72AB8" w:rsidP="00E72AB8">
      <w:pPr>
        <w:spacing w:line="276" w:lineRule="auto"/>
        <w:ind w:right="-316"/>
        <w:jc w:val="both"/>
        <w:rPr>
          <w:rFonts w:ascii="Calibri" w:eastAsia="Calibri" w:hAnsi="Calibri" w:cs="Arial"/>
          <w:sz w:val="22"/>
          <w:szCs w:val="22"/>
          <w:lang w:eastAsia="en-US"/>
        </w:rPr>
      </w:pPr>
    </w:p>
    <w:p w:rsidR="00E72AB8" w:rsidRPr="00E72AB8" w:rsidRDefault="00E72AB8" w:rsidP="00E72AB8">
      <w:pPr>
        <w:spacing w:line="276" w:lineRule="auto"/>
        <w:ind w:right="-316"/>
        <w:jc w:val="both"/>
        <w:rPr>
          <w:rFonts w:ascii="Calibri" w:eastAsia="Calibri" w:hAnsi="Calibri" w:cs="Arial"/>
          <w:sz w:val="22"/>
          <w:szCs w:val="22"/>
          <w:lang w:eastAsia="en-US"/>
        </w:rPr>
      </w:pPr>
      <w:r w:rsidRPr="00E72AB8">
        <w:rPr>
          <w:rFonts w:ascii="Calibri" w:eastAsia="Calibri" w:hAnsi="Calibri" w:cs="Arial"/>
          <w:sz w:val="22"/>
          <w:szCs w:val="22"/>
          <w:lang w:eastAsia="en-US"/>
        </w:rPr>
        <w:t>Restaurant Address</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I have read the accompanying food safety notice regarding the supply, shucking and consumption of scallops.</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 xml:space="preserve">Signed: ……………………………………………………………       </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 xml:space="preserve">Print Name  …………………………………………………… </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Position Held: ……………………………………………….</w:t>
      </w:r>
    </w:p>
    <w:p w:rsidR="00E72AB8" w:rsidRPr="00E72AB8" w:rsidRDefault="00E72AB8" w:rsidP="00E72AB8">
      <w:pPr>
        <w:spacing w:line="276" w:lineRule="auto"/>
        <w:jc w:val="both"/>
        <w:rPr>
          <w:rFonts w:ascii="Calibri" w:eastAsia="Calibri" w:hAnsi="Calibri" w:cs="Arial"/>
          <w:sz w:val="22"/>
          <w:szCs w:val="22"/>
          <w:lang w:eastAsia="en-US"/>
        </w:rPr>
      </w:pPr>
    </w:p>
    <w:p w:rsidR="00E72AB8" w:rsidRPr="00E72AB8" w:rsidRDefault="00E72AB8" w:rsidP="00E72AB8">
      <w:pPr>
        <w:spacing w:line="276" w:lineRule="auto"/>
        <w:jc w:val="both"/>
        <w:rPr>
          <w:rFonts w:ascii="Calibri" w:eastAsia="Calibri" w:hAnsi="Calibri" w:cs="Arial"/>
          <w:sz w:val="22"/>
          <w:szCs w:val="22"/>
          <w:lang w:eastAsia="en-US"/>
        </w:rPr>
      </w:pPr>
      <w:r w:rsidRPr="00E72AB8">
        <w:rPr>
          <w:rFonts w:ascii="Calibri" w:eastAsia="Calibri" w:hAnsi="Calibri" w:cs="Arial"/>
          <w:sz w:val="22"/>
          <w:szCs w:val="22"/>
          <w:lang w:eastAsia="en-US"/>
        </w:rPr>
        <w:t>Date: ……………………………………………………………..</w:t>
      </w:r>
    </w:p>
    <w:p w:rsidR="006925E6" w:rsidRPr="006925E6" w:rsidRDefault="006925E6" w:rsidP="00175FBF">
      <w:pPr>
        <w:spacing w:line="276" w:lineRule="auto"/>
        <w:jc w:val="both"/>
        <w:rPr>
          <w:rFonts w:ascii="Arial" w:hAnsi="Arial" w:cs="Arial"/>
          <w:sz w:val="24"/>
        </w:rPr>
      </w:pPr>
    </w:p>
    <w:p w:rsidR="00175FBF" w:rsidRPr="002F54D9" w:rsidRDefault="00093884" w:rsidP="002F54D9">
      <w:pPr>
        <w:pStyle w:val="Subtitle"/>
        <w:jc w:val="left"/>
        <w:rPr>
          <w:rFonts w:ascii="Arial" w:eastAsia="Calibri" w:hAnsi="Arial" w:cs="Arial"/>
          <w:b/>
          <w:sz w:val="22"/>
          <w:szCs w:val="22"/>
          <w:lang w:eastAsia="en-US"/>
        </w:rPr>
      </w:pPr>
      <w:r>
        <w:br w:type="page"/>
      </w:r>
      <w:bookmarkStart w:id="50" w:name="_Toc462655905"/>
      <w:r w:rsidR="00175FBF" w:rsidRPr="002F54D9">
        <w:rPr>
          <w:rFonts w:ascii="Arial" w:eastAsia="Calibri" w:hAnsi="Arial" w:cs="Arial"/>
          <w:b/>
          <w:lang w:eastAsia="en-US"/>
        </w:rPr>
        <w:lastRenderedPageBreak/>
        <w:t>A</w:t>
      </w:r>
      <w:r w:rsidR="005D3B8C">
        <w:rPr>
          <w:rFonts w:ascii="Arial" w:eastAsia="Calibri" w:hAnsi="Arial" w:cs="Arial"/>
          <w:b/>
          <w:lang w:eastAsia="en-US"/>
        </w:rPr>
        <w:t>nnex</w:t>
      </w:r>
      <w:r w:rsidR="00175FBF" w:rsidRPr="002F54D9">
        <w:rPr>
          <w:rFonts w:ascii="Arial" w:eastAsia="Calibri" w:hAnsi="Arial" w:cs="Arial"/>
          <w:b/>
          <w:lang w:eastAsia="en-US"/>
        </w:rPr>
        <w:t xml:space="preserve"> </w:t>
      </w:r>
      <w:proofErr w:type="spellStart"/>
      <w:r w:rsidRPr="002F54D9">
        <w:rPr>
          <w:rFonts w:ascii="Arial" w:eastAsia="Calibri" w:hAnsi="Arial" w:cs="Arial"/>
          <w:b/>
          <w:lang w:eastAsia="en-US"/>
        </w:rPr>
        <w:t>D</w:t>
      </w:r>
      <w:r>
        <w:rPr>
          <w:rFonts w:ascii="Arial" w:eastAsia="Calibri" w:hAnsi="Arial" w:cs="Arial"/>
          <w:b/>
          <w:lang w:eastAsia="en-US"/>
        </w:rPr>
        <w:t>2</w:t>
      </w:r>
      <w:proofErr w:type="spellEnd"/>
      <w:r w:rsidRPr="002F54D9">
        <w:rPr>
          <w:rFonts w:ascii="Arial" w:eastAsia="Calibri" w:hAnsi="Arial" w:cs="Arial"/>
          <w:b/>
          <w:lang w:eastAsia="en-US"/>
        </w:rPr>
        <w:t xml:space="preserve"> </w:t>
      </w:r>
      <w:r w:rsidR="00175FBF" w:rsidRPr="002F54D9">
        <w:rPr>
          <w:rFonts w:ascii="Arial" w:eastAsia="Calibri" w:hAnsi="Arial" w:cs="Arial"/>
          <w:b/>
          <w:lang w:eastAsia="en-US"/>
        </w:rPr>
        <w:t>–Suggested  Food safety notice</w:t>
      </w:r>
      <w:bookmarkEnd w:id="50"/>
      <w:r w:rsidR="003013D2" w:rsidRPr="002F54D9">
        <w:rPr>
          <w:rFonts w:ascii="Arial" w:eastAsia="Calibri" w:hAnsi="Arial" w:cs="Arial"/>
          <w:b/>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tblGrid>
      <w:tr w:rsidR="00175FBF" w:rsidTr="00410BD9">
        <w:tc>
          <w:tcPr>
            <w:tcW w:w="9242" w:type="dxa"/>
            <w:shd w:val="clear" w:color="auto" w:fill="auto"/>
          </w:tcPr>
          <w:p w:rsidR="00175FBF" w:rsidRPr="00410BD9" w:rsidRDefault="00175FBF" w:rsidP="00410BD9">
            <w:pPr>
              <w:jc w:val="center"/>
              <w:rPr>
                <w:rFonts w:eastAsia="Calibri" w:cs="Arial"/>
                <w:sz w:val="36"/>
                <w:szCs w:val="36"/>
              </w:rPr>
            </w:pPr>
          </w:p>
          <w:p w:rsidR="00175FBF" w:rsidRPr="00410BD9" w:rsidRDefault="00175FBF" w:rsidP="00410BD9">
            <w:pPr>
              <w:jc w:val="center"/>
              <w:rPr>
                <w:rFonts w:eastAsia="Calibri" w:cs="Arial"/>
                <w:sz w:val="36"/>
                <w:szCs w:val="36"/>
              </w:rPr>
            </w:pPr>
            <w:r w:rsidRPr="00410BD9">
              <w:rPr>
                <w:rFonts w:eastAsia="Calibri" w:cs="Arial"/>
                <w:sz w:val="36"/>
                <w:szCs w:val="36"/>
              </w:rPr>
              <w:t>Food Safety Warning</w:t>
            </w:r>
          </w:p>
          <w:p w:rsidR="00175FBF" w:rsidRPr="00410BD9" w:rsidRDefault="00175FBF" w:rsidP="00410BD9">
            <w:pPr>
              <w:jc w:val="center"/>
              <w:rPr>
                <w:rFonts w:eastAsia="Calibri" w:cs="Arial"/>
                <w:i/>
                <w:sz w:val="36"/>
                <w:szCs w:val="36"/>
              </w:rPr>
            </w:pPr>
            <w:r w:rsidRPr="00410BD9">
              <w:rPr>
                <w:rFonts w:eastAsia="Calibri" w:cs="Arial"/>
                <w:sz w:val="36"/>
                <w:szCs w:val="36"/>
              </w:rPr>
              <w:t xml:space="preserve">Whole king scallops </w:t>
            </w:r>
            <w:proofErr w:type="spellStart"/>
            <w:r w:rsidRPr="00410BD9">
              <w:rPr>
                <w:rFonts w:eastAsia="Calibri" w:cs="Arial"/>
                <w:i/>
                <w:sz w:val="36"/>
                <w:szCs w:val="36"/>
              </w:rPr>
              <w:t>Pecten</w:t>
            </w:r>
            <w:proofErr w:type="spellEnd"/>
            <w:r w:rsidRPr="00410BD9">
              <w:rPr>
                <w:rFonts w:eastAsia="Calibri" w:cs="Arial"/>
                <w:i/>
                <w:sz w:val="36"/>
                <w:szCs w:val="36"/>
              </w:rPr>
              <w:t xml:space="preserve"> </w:t>
            </w:r>
            <w:proofErr w:type="spellStart"/>
            <w:r w:rsidRPr="00410BD9">
              <w:rPr>
                <w:rFonts w:eastAsia="Calibri" w:cs="Arial"/>
                <w:i/>
                <w:sz w:val="36"/>
                <w:szCs w:val="36"/>
              </w:rPr>
              <w:t>maximus</w:t>
            </w:r>
            <w:proofErr w:type="spellEnd"/>
          </w:p>
          <w:p w:rsidR="00175FBF" w:rsidRPr="00410BD9" w:rsidRDefault="00175FBF" w:rsidP="00410BD9">
            <w:pPr>
              <w:jc w:val="center"/>
              <w:rPr>
                <w:rFonts w:eastAsia="Calibri" w:cs="Arial"/>
                <w:i/>
                <w:sz w:val="36"/>
                <w:szCs w:val="36"/>
              </w:rPr>
            </w:pPr>
          </w:p>
          <w:p w:rsidR="00175FBF" w:rsidRPr="00410BD9" w:rsidRDefault="00175FBF" w:rsidP="00410BD9">
            <w:pPr>
              <w:pStyle w:val="ListParagraph"/>
              <w:tabs>
                <w:tab w:val="clear" w:pos="851"/>
                <w:tab w:val="clear" w:pos="1701"/>
                <w:tab w:val="clear" w:pos="2552"/>
                <w:tab w:val="clear" w:pos="3402"/>
                <w:tab w:val="clear" w:pos="9072"/>
                <w:tab w:val="left" w:pos="8080"/>
              </w:tabs>
              <w:spacing w:after="0" w:line="240" w:lineRule="auto"/>
              <w:ind w:left="1440" w:right="946"/>
              <w:jc w:val="left"/>
              <w:rPr>
                <w:rFonts w:eastAsia="Calibri" w:cs="Arial"/>
                <w:b/>
                <w:color w:val="FF0000"/>
                <w:sz w:val="36"/>
                <w:szCs w:val="36"/>
              </w:rPr>
            </w:pPr>
            <w:r w:rsidRPr="00410BD9">
              <w:rPr>
                <w:rFonts w:eastAsia="Calibri" w:cs="Arial"/>
                <w:b/>
                <w:color w:val="FF0000"/>
                <w:sz w:val="36"/>
                <w:szCs w:val="36"/>
              </w:rPr>
              <w:t>The edible part of the scallop is the white meat and orange roe</w:t>
            </w:r>
          </w:p>
          <w:p w:rsidR="00175FBF" w:rsidRPr="00410BD9" w:rsidRDefault="00175FBF" w:rsidP="00410BD9">
            <w:pPr>
              <w:pStyle w:val="ListParagraph"/>
              <w:tabs>
                <w:tab w:val="left" w:pos="8080"/>
              </w:tabs>
              <w:ind w:left="1353" w:right="946"/>
              <w:jc w:val="left"/>
              <w:rPr>
                <w:rFonts w:eastAsia="Calibri" w:cs="Arial"/>
                <w:b/>
                <w:color w:val="FF0000"/>
                <w:sz w:val="36"/>
                <w:szCs w:val="36"/>
              </w:rPr>
            </w:pPr>
          </w:p>
          <w:p w:rsidR="00175FBF" w:rsidRPr="00410BD9" w:rsidRDefault="00175FBF" w:rsidP="00410BD9">
            <w:pPr>
              <w:pStyle w:val="ListParagraph"/>
              <w:tabs>
                <w:tab w:val="clear" w:pos="851"/>
                <w:tab w:val="clear" w:pos="1701"/>
                <w:tab w:val="clear" w:pos="2552"/>
                <w:tab w:val="clear" w:pos="3402"/>
                <w:tab w:val="clear" w:pos="9072"/>
                <w:tab w:val="left" w:pos="8080"/>
              </w:tabs>
              <w:spacing w:after="0" w:line="240" w:lineRule="auto"/>
              <w:ind w:left="1440" w:right="946"/>
              <w:jc w:val="left"/>
              <w:rPr>
                <w:rFonts w:eastAsia="Calibri" w:cs="Arial"/>
                <w:b/>
                <w:color w:val="FF0000"/>
                <w:sz w:val="36"/>
                <w:szCs w:val="36"/>
              </w:rPr>
            </w:pPr>
            <w:r w:rsidRPr="00410BD9">
              <w:rPr>
                <w:rFonts w:eastAsia="Calibri" w:cs="Arial"/>
                <w:b/>
                <w:color w:val="FF0000"/>
                <w:sz w:val="36"/>
                <w:szCs w:val="36"/>
              </w:rPr>
              <w:t xml:space="preserve">The other parts, the gut and frill, </w:t>
            </w:r>
            <w:r w:rsidRPr="00410BD9">
              <w:rPr>
                <w:rFonts w:eastAsia="Calibri" w:cs="Arial"/>
                <w:b/>
                <w:color w:val="FF0000"/>
                <w:sz w:val="36"/>
                <w:szCs w:val="36"/>
                <w:u w:val="single"/>
              </w:rPr>
              <w:t>must NOT be consumed</w:t>
            </w:r>
            <w:r w:rsidRPr="00410BD9">
              <w:rPr>
                <w:rFonts w:eastAsia="Calibri" w:cs="Arial"/>
                <w:b/>
                <w:color w:val="FF0000"/>
                <w:sz w:val="36"/>
                <w:szCs w:val="36"/>
              </w:rPr>
              <w:t xml:space="preserve"> or used to in food preparation.</w:t>
            </w:r>
          </w:p>
          <w:p w:rsidR="00175FBF" w:rsidRPr="00410BD9" w:rsidRDefault="00175FBF" w:rsidP="00410BD9">
            <w:pPr>
              <w:pStyle w:val="ListParagraph"/>
              <w:ind w:left="1440"/>
              <w:rPr>
                <w:rFonts w:eastAsia="Calibri" w:cs="Arial"/>
              </w:rPr>
            </w:pPr>
          </w:p>
        </w:tc>
      </w:tr>
    </w:tbl>
    <w:p w:rsidR="006925E6" w:rsidRPr="006925E6" w:rsidRDefault="006925E6" w:rsidP="006925E6">
      <w:pPr>
        <w:rPr>
          <w:rFonts w:ascii="Arial" w:hAnsi="Arial" w:cs="Arial"/>
          <w:sz w:val="24"/>
        </w:rPr>
        <w:sectPr w:rsidR="006925E6" w:rsidRPr="006925E6">
          <w:pgSz w:w="11907" w:h="16840" w:code="9"/>
          <w:pgMar w:top="1440" w:right="1588" w:bottom="1440" w:left="1797" w:header="720" w:footer="720" w:gutter="0"/>
          <w:cols w:space="720"/>
        </w:sectPr>
      </w:pPr>
    </w:p>
    <w:p w:rsidR="000C6866" w:rsidRPr="000C6866" w:rsidRDefault="000C6866" w:rsidP="005D3B8C">
      <w:pPr>
        <w:jc w:val="center"/>
        <w:rPr>
          <w:rFonts w:ascii="Arial" w:hAnsi="Arial" w:cs="Arial"/>
          <w:b/>
          <w:sz w:val="24"/>
          <w:u w:val="single"/>
        </w:rPr>
      </w:pPr>
    </w:p>
    <w:sectPr w:rsidR="000C6866" w:rsidRPr="000C6866">
      <w:pgSz w:w="16840" w:h="11907" w:orient="landscape" w:code="9"/>
      <w:pgMar w:top="1797" w:right="1440" w:bottom="158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42" w:rsidRDefault="00E77A42">
      <w:r>
        <w:separator/>
      </w:r>
    </w:p>
  </w:endnote>
  <w:endnote w:type="continuationSeparator" w:id="0">
    <w:p w:rsidR="00E77A42" w:rsidRDefault="00E77A42">
      <w:r>
        <w:continuationSeparator/>
      </w:r>
    </w:p>
  </w:endnote>
  <w:endnote w:type="continuationNotice" w:id="1">
    <w:p w:rsidR="00E77A42" w:rsidRDefault="00E7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2627" w:rsidRDefault="00E02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9F3">
      <w:rPr>
        <w:rStyle w:val="PageNumber"/>
        <w:noProof/>
      </w:rPr>
      <w:t>6</w:t>
    </w:r>
    <w:r>
      <w:rPr>
        <w:rStyle w:val="PageNumber"/>
      </w:rPr>
      <w:fldChar w:fldCharType="end"/>
    </w:r>
  </w:p>
  <w:p w:rsidR="00E02627" w:rsidRDefault="00E02627">
    <w:pPr>
      <w:pStyle w:val="Foo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0C3" w:rsidRDefault="006120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rsidP="009535A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9F3">
      <w:rPr>
        <w:rStyle w:val="PageNumber"/>
        <w:noProof/>
      </w:rPr>
      <w:t>17</w:t>
    </w:r>
    <w:r>
      <w:rPr>
        <w:rStyle w:val="PageNumber"/>
      </w:rPr>
      <w:fldChar w:fldCharType="end"/>
    </w:r>
  </w:p>
  <w:p w:rsidR="00E02627" w:rsidRDefault="00E02627">
    <w:pPr>
      <w:pStyle w:val="Footer"/>
    </w:pPr>
  </w:p>
  <w:p w:rsidR="00E02627" w:rsidRDefault="00E02627"/>
  <w:p w:rsidR="00E02627" w:rsidRDefault="00E02627">
    <w:bookmarkStart w:id="37" w:name="_GoBack"/>
    <w:bookmarkEnd w:id="3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42" w:rsidRDefault="00E77A42">
      <w:r>
        <w:separator/>
      </w:r>
    </w:p>
  </w:footnote>
  <w:footnote w:type="continuationSeparator" w:id="0">
    <w:p w:rsidR="00E77A42" w:rsidRDefault="00E77A42">
      <w:r>
        <w:continuationSeparator/>
      </w:r>
    </w:p>
  </w:footnote>
  <w:footnote w:type="continuationNotice" w:id="1">
    <w:p w:rsidR="00E77A42" w:rsidRDefault="00E77A42"/>
  </w:footnote>
  <w:footnote w:id="2">
    <w:p w:rsidR="00E02627" w:rsidRDefault="00E02627" w:rsidP="00646766">
      <w:pPr>
        <w:pStyle w:val="FootnoteText"/>
      </w:pPr>
      <w:r>
        <w:rPr>
          <w:rStyle w:val="FootnoteReference"/>
        </w:rPr>
        <w:footnoteRef/>
      </w:r>
      <w:r>
        <w:t xml:space="preserve"> </w:t>
      </w:r>
      <w:r w:rsidRPr="00646766">
        <w:t xml:space="preserve">Chapter IX, Section VII, Annex III of </w:t>
      </w:r>
      <w:r>
        <w:t xml:space="preserve">EC regulation </w:t>
      </w:r>
      <w:r w:rsidRPr="00646766">
        <w:t>853/2004</w:t>
      </w:r>
      <w:r>
        <w:t xml:space="preserve"> </w:t>
      </w:r>
    </w:p>
    <w:p w:rsidR="00E02627" w:rsidRDefault="00CF39F3" w:rsidP="00646766">
      <w:pPr>
        <w:pStyle w:val="FootnoteText"/>
      </w:pPr>
      <w:hyperlink r:id="rId1" w:history="1">
        <w:r w:rsidR="00E02627" w:rsidRPr="002B304A">
          <w:rPr>
            <w:rStyle w:val="Hyperlink"/>
          </w:rPr>
          <w:t>http://eur-lex.europa.eu/legal-content/EN/TXT/HTML/?uri=CELEX:02004R0853-20160401&amp;qid=1462294525277&amp;from=EN</w:t>
        </w:r>
      </w:hyperlink>
      <w:r w:rsidR="00E02627">
        <w:t xml:space="preserve"> </w:t>
      </w:r>
    </w:p>
  </w:footnote>
  <w:footnote w:id="3">
    <w:p w:rsidR="00E02627" w:rsidRDefault="00E02627">
      <w:pPr>
        <w:pStyle w:val="FootnoteText"/>
      </w:pPr>
      <w:r>
        <w:rPr>
          <w:rStyle w:val="FootnoteReference"/>
        </w:rPr>
        <w:footnoteRef/>
      </w:r>
      <w:r>
        <w:t xml:space="preserve"> Local Authorities are obliged to follow the Food Law Code of Practice when undertaking enforcement functions:  </w:t>
      </w:r>
      <w:hyperlink r:id="rId2" w:history="1">
        <w:r w:rsidRPr="002B304A">
          <w:rPr>
            <w:rStyle w:val="Hyperlink"/>
          </w:rPr>
          <w:t>http://www.foodstandards.gov.scot/food-law-code-practice-2015</w:t>
        </w:r>
      </w:hyperlink>
      <w:r>
        <w:t xml:space="preserve"> </w:t>
      </w:r>
    </w:p>
  </w:footnote>
  <w:footnote w:id="4">
    <w:p w:rsidR="00E02627" w:rsidRDefault="00E02627">
      <w:pPr>
        <w:pStyle w:val="FootnoteText"/>
      </w:pPr>
      <w:r>
        <w:rPr>
          <w:rStyle w:val="FootnoteReference"/>
        </w:rPr>
        <w:footnoteRef/>
      </w:r>
      <w:r>
        <w:t xml:space="preserve"> </w:t>
      </w:r>
      <w:r w:rsidRPr="00E27000">
        <w:t>http://eur-lex.europa.eu/legal-content/EN/TXT/?qid=1478003169873&amp;uri=CELEX:02002R0178-20140630</w:t>
      </w:r>
    </w:p>
  </w:footnote>
  <w:footnote w:id="5">
    <w:p w:rsidR="00E02627" w:rsidRDefault="00E02627">
      <w:pPr>
        <w:pStyle w:val="FootnoteText"/>
      </w:pPr>
      <w:r>
        <w:rPr>
          <w:rStyle w:val="FootnoteReference"/>
        </w:rPr>
        <w:footnoteRef/>
      </w:r>
      <w:r>
        <w:t xml:space="preserve"> EC Regulation 853/2004 Annex II, Section VII, Ch I, 3.</w:t>
      </w:r>
    </w:p>
  </w:footnote>
  <w:footnote w:id="6">
    <w:p w:rsidR="00E02627" w:rsidRDefault="00E02627">
      <w:pPr>
        <w:pStyle w:val="FootnoteText"/>
      </w:pPr>
      <w:r>
        <w:rPr>
          <w:rStyle w:val="FootnoteReference"/>
        </w:rPr>
        <w:footnoteRef/>
      </w:r>
      <w:r>
        <w:t xml:space="preserve"> </w:t>
      </w:r>
      <w:hyperlink r:id="rId3" w:history="1">
        <w:r w:rsidRPr="003653FF">
          <w:rPr>
            <w:rStyle w:val="Hyperlink"/>
          </w:rPr>
          <w:t>http://ifgs.org.uk/</w:t>
        </w:r>
      </w:hyperlink>
      <w:r>
        <w:t xml:space="preserve"> </w:t>
      </w:r>
    </w:p>
  </w:footnote>
  <w:footnote w:id="7">
    <w:p w:rsidR="00E02627" w:rsidRDefault="00E02627">
      <w:pPr>
        <w:pStyle w:val="FootnoteText"/>
      </w:pPr>
      <w:r>
        <w:rPr>
          <w:rStyle w:val="FootnoteReference"/>
        </w:rPr>
        <w:footnoteRef/>
      </w:r>
      <w:r>
        <w:t xml:space="preserve"> 853/2004, Section VII, Ch I .6</w:t>
      </w:r>
    </w:p>
  </w:footnote>
  <w:footnote w:id="8">
    <w:p w:rsidR="00E02627" w:rsidRDefault="00E02627" w:rsidP="00796DA0">
      <w:pPr>
        <w:pStyle w:val="FootnoteText"/>
      </w:pPr>
      <w:r>
        <w:rPr>
          <w:rStyle w:val="FootnoteReference"/>
        </w:rPr>
        <w:footnoteRef/>
      </w:r>
      <w:r>
        <w:t xml:space="preserve"> </w:t>
      </w:r>
      <w:r w:rsidRPr="000D1830">
        <w:t>Article 1(</w:t>
      </w:r>
      <w:r>
        <w:t>3)(c) of EC Regulation 853/2004</w:t>
      </w:r>
    </w:p>
  </w:footnote>
  <w:footnote w:id="9">
    <w:p w:rsidR="00E02627" w:rsidRDefault="00E02627">
      <w:pPr>
        <w:pStyle w:val="FootnoteText"/>
      </w:pPr>
      <w:r>
        <w:rPr>
          <w:rStyle w:val="FootnoteReference"/>
        </w:rPr>
        <w:footnoteRef/>
      </w:r>
      <w:r>
        <w:t xml:space="preserve"> Please see Cefas sampling protocols webpages for details:  </w:t>
      </w:r>
      <w:hyperlink r:id="rId4" w:history="1">
        <w:r w:rsidRPr="00683AB2">
          <w:rPr>
            <w:rStyle w:val="Hyperlink"/>
          </w:rPr>
          <w:t>https://www.cefas.co.uk/cefas-data-hub/food-safety/the-shellfish-partnership/</w:t>
        </w:r>
      </w:hyperlink>
      <w:r>
        <w:t xml:space="preserve"> </w:t>
      </w:r>
    </w:p>
  </w:footnote>
  <w:footnote w:id="10">
    <w:p w:rsidR="00E02627" w:rsidRDefault="00E02627">
      <w:pPr>
        <w:pStyle w:val="FootnoteText"/>
      </w:pPr>
      <w:r>
        <w:rPr>
          <w:rStyle w:val="FootnoteReference"/>
        </w:rPr>
        <w:footnoteRef/>
      </w:r>
      <w:r>
        <w:t xml:space="preserve"> </w:t>
      </w:r>
      <w:hyperlink r:id="rId5" w:history="1">
        <w:r w:rsidRPr="008D111C">
          <w:rPr>
            <w:rStyle w:val="Hyperlink"/>
          </w:rPr>
          <w:t>Australia New Zealand Food Standards Code - Standard 4.2.1 - Primary Production and Processing Standard for Seafood (Australia Only)</w:t>
        </w:r>
      </w:hyperlink>
    </w:p>
  </w:footnote>
  <w:footnote w:id="11">
    <w:p w:rsidR="00E02627" w:rsidRDefault="00E02627">
      <w:pPr>
        <w:pStyle w:val="FootnoteText"/>
      </w:pPr>
      <w:r>
        <w:rPr>
          <w:rStyle w:val="FootnoteReference"/>
        </w:rPr>
        <w:footnoteRef/>
      </w:r>
      <w:r>
        <w:t xml:space="preserve"> </w:t>
      </w:r>
      <w:hyperlink r:id="rId6" w:history="1">
        <w:r w:rsidRPr="00314C84">
          <w:rPr>
            <w:rStyle w:val="Hyperlink"/>
          </w:rPr>
          <w:t>Definitions - Canadian Shellfish Sanitation program - Manual of Operations - Food - Canadian Food Inspection Agency</w:t>
        </w:r>
      </w:hyperlink>
    </w:p>
  </w:footnote>
  <w:footnote w:id="12">
    <w:p w:rsidR="00E02627" w:rsidRDefault="00E02627">
      <w:pPr>
        <w:pStyle w:val="FootnoteText"/>
      </w:pPr>
      <w:r>
        <w:rPr>
          <w:rStyle w:val="FootnoteReference"/>
        </w:rPr>
        <w:footnoteRef/>
      </w:r>
      <w:r>
        <w:t xml:space="preserve"> </w:t>
      </w:r>
      <w:hyperlink r:id="rId7" w:history="1">
        <w:r w:rsidRPr="00A9389F">
          <w:rPr>
            <w:rStyle w:val="Hyperlink"/>
          </w:rPr>
          <w:t>http://www.fda.gov/downloads/Food/GuidanceRegulation/FederalStateFoodPrograms/UCM505093.pdf</w:t>
        </w:r>
      </w:hyperlink>
    </w:p>
  </w:footnote>
  <w:footnote w:id="13">
    <w:p w:rsidR="00E02627" w:rsidRDefault="00E02627" w:rsidP="00A9389F">
      <w:pPr>
        <w:pStyle w:val="FootnoteText"/>
      </w:pPr>
      <w:r>
        <w:rPr>
          <w:rStyle w:val="FootnoteReference"/>
        </w:rPr>
        <w:footnoteRef/>
      </w:r>
      <w:r>
        <w:t xml:space="preserve"> </w:t>
      </w:r>
      <w:hyperlink r:id="rId8" w:history="1">
        <w:r w:rsidRPr="00F114C3">
          <w:rPr>
            <w:rStyle w:val="Hyperlink"/>
          </w:rPr>
          <w:t>http://www.seafish.org/media/Publications/FactsheetParalyticShellfishPoisoning_201110.pdf</w:t>
        </w:r>
      </w:hyperlink>
    </w:p>
  </w:footnote>
  <w:footnote w:id="14">
    <w:p w:rsidR="00E02627" w:rsidRDefault="00E02627" w:rsidP="004A3F0B">
      <w:pPr>
        <w:pStyle w:val="FootnoteText"/>
      </w:pPr>
      <w:r>
        <w:rPr>
          <w:rStyle w:val="FootnoteReference"/>
        </w:rPr>
        <w:footnoteRef/>
      </w:r>
      <w:r>
        <w:t xml:space="preserve"> </w:t>
      </w:r>
    </w:p>
  </w:footnote>
  <w:footnote w:id="15">
    <w:p w:rsidR="00E02627" w:rsidRDefault="00E02627" w:rsidP="00E72AB8">
      <w:pPr>
        <w:pStyle w:val="FootnoteText"/>
      </w:pPr>
      <w:r>
        <w:rPr>
          <w:rStyle w:val="FootnoteReference"/>
        </w:rPr>
        <w:footnoteRef/>
      </w:r>
      <w:r>
        <w:t xml:space="preserve"> See section 7 this report </w:t>
      </w:r>
    </w:p>
  </w:footnote>
  <w:footnote w:id="16">
    <w:p w:rsidR="00E02627" w:rsidRDefault="00E02627" w:rsidP="00E72AB8">
      <w:pPr>
        <w:pStyle w:val="FootnoteText"/>
      </w:pPr>
      <w:r>
        <w:rPr>
          <w:rStyle w:val="FootnoteReference"/>
        </w:rPr>
        <w:footnoteRef/>
      </w:r>
      <w:r>
        <w:t xml:space="preserve"> See section 6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27" w:rsidRDefault="00E02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DA0"/>
    <w:multiLevelType w:val="hybridMultilevel"/>
    <w:tmpl w:val="E49CF9C6"/>
    <w:lvl w:ilvl="0" w:tplc="08090019">
      <w:start w:val="1"/>
      <w:numFmt w:val="lowerLetter"/>
      <w:lvlText w:val="(%1)"/>
      <w:lvlJc w:val="left"/>
      <w:pPr>
        <w:ind w:left="1296" w:hanging="360"/>
      </w:pPr>
      <w:rPr>
        <w:rFonts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
    <w:nsid w:val="0ABF6432"/>
    <w:multiLevelType w:val="hybridMultilevel"/>
    <w:tmpl w:val="625824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24C002DB"/>
    <w:multiLevelType w:val="hybridMultilevel"/>
    <w:tmpl w:val="DB3C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CD3F92"/>
    <w:multiLevelType w:val="hybridMultilevel"/>
    <w:tmpl w:val="304E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0028E9"/>
    <w:multiLevelType w:val="hybridMultilevel"/>
    <w:tmpl w:val="C470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9A667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4A0E41F7"/>
    <w:multiLevelType w:val="hybridMultilevel"/>
    <w:tmpl w:val="6F34AFF6"/>
    <w:lvl w:ilvl="0" w:tplc="0E704584">
      <w:start w:val="1"/>
      <w:numFmt w:val="bullet"/>
      <w:pStyle w:val="BulletIndented"/>
      <w:lvlText w:val=""/>
      <w:lvlJc w:val="left"/>
      <w:pPr>
        <w:tabs>
          <w:tab w:val="num" w:pos="1418"/>
        </w:tabs>
        <w:ind w:left="1418" w:hanging="56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2F7A76"/>
    <w:multiLevelType w:val="hybridMultilevel"/>
    <w:tmpl w:val="89668EAC"/>
    <w:lvl w:ilvl="0" w:tplc="5286312C">
      <w:start w:val="1"/>
      <w:numFmt w:val="decimal"/>
      <w:pStyle w:val="BomTextInd"/>
      <w:lvlText w:val="%1."/>
      <w:lvlJc w:val="left"/>
      <w:pPr>
        <w:tabs>
          <w:tab w:val="num" w:pos="1843"/>
        </w:tabs>
        <w:ind w:left="1843" w:hanging="851"/>
      </w:pPr>
      <w:rPr>
        <w:b w:val="0"/>
      </w:rPr>
    </w:lvl>
    <w:lvl w:ilvl="1" w:tplc="F76A460A">
      <w:start w:val="1"/>
      <w:numFmt w:val="lowerLetter"/>
      <w:lvlText w:val="%2."/>
      <w:lvlJc w:val="left"/>
      <w:pPr>
        <w:tabs>
          <w:tab w:val="num" w:pos="1440"/>
        </w:tabs>
        <w:ind w:left="1440" w:hanging="360"/>
      </w:pPr>
    </w:lvl>
    <w:lvl w:ilvl="2" w:tplc="08090019">
      <w:start w:val="1"/>
      <w:numFmt w:val="lowerLetter"/>
      <w:lvlText w:val="%3."/>
      <w:lvlJc w:val="lef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8114E41"/>
    <w:multiLevelType w:val="hybridMultilevel"/>
    <w:tmpl w:val="D53E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ED5052"/>
    <w:multiLevelType w:val="hybridMultilevel"/>
    <w:tmpl w:val="5B4AB6F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640B591E"/>
    <w:multiLevelType w:val="hybridMultilevel"/>
    <w:tmpl w:val="51A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2">
    <w:nsid w:val="65815353"/>
    <w:multiLevelType w:val="hybridMultilevel"/>
    <w:tmpl w:val="3B8E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FA58A9"/>
    <w:multiLevelType w:val="hybridMultilevel"/>
    <w:tmpl w:val="EC749B5E"/>
    <w:lvl w:ilvl="0" w:tplc="169EFB3A">
      <w:start w:val="1"/>
      <w:numFmt w:val="bullet"/>
      <w:pStyle w:val="Bulletindent"/>
      <w:lvlText w:val=""/>
      <w:lvlJc w:val="left"/>
      <w:pPr>
        <w:tabs>
          <w:tab w:val="num" w:pos="1418"/>
        </w:tabs>
        <w:ind w:left="1418" w:hanging="567"/>
      </w:pPr>
      <w:rPr>
        <w:rFonts w:ascii="Symbol" w:hAnsi="Symbol"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6B70C38"/>
    <w:multiLevelType w:val="multilevel"/>
    <w:tmpl w:val="08090025"/>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6"/>
  </w:num>
  <w:num w:numId="5">
    <w:abstractNumId w:val="7"/>
  </w:num>
  <w:num w:numId="6">
    <w:abstractNumId w:val="13"/>
  </w:num>
  <w:num w:numId="7">
    <w:abstractNumId w:val="1"/>
  </w:num>
  <w:num w:numId="8">
    <w:abstractNumId w:val="8"/>
  </w:num>
  <w:num w:numId="9">
    <w:abstractNumId w:val="11"/>
  </w:num>
  <w:num w:numId="10">
    <w:abstractNumId w:val="14"/>
  </w:num>
  <w:num w:numId="11">
    <w:abstractNumId w:val="0"/>
  </w:num>
  <w:num w:numId="12">
    <w:abstractNumId w:val="12"/>
  </w:num>
  <w:num w:numId="13">
    <w:abstractNumId w:val="3"/>
  </w:num>
  <w:num w:numId="14">
    <w:abstractNumId w:val="10"/>
  </w:num>
  <w:num w:numId="15">
    <w:abstractNumId w:val="9"/>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6" fill="f" fillcolor="white" stroke="f">
      <v:fill color="white" on="f"/>
      <v:stroke on="f"/>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D11"/>
    <w:rsid w:val="000200DA"/>
    <w:rsid w:val="00030E93"/>
    <w:rsid w:val="00045C7E"/>
    <w:rsid w:val="00047AC9"/>
    <w:rsid w:val="00090699"/>
    <w:rsid w:val="00091FF8"/>
    <w:rsid w:val="00093884"/>
    <w:rsid w:val="00095D6A"/>
    <w:rsid w:val="000A1A60"/>
    <w:rsid w:val="000A692F"/>
    <w:rsid w:val="000C6866"/>
    <w:rsid w:val="000D1830"/>
    <w:rsid w:val="000D5689"/>
    <w:rsid w:val="000E099D"/>
    <w:rsid w:val="000E6D48"/>
    <w:rsid w:val="000F2B37"/>
    <w:rsid w:val="00113F20"/>
    <w:rsid w:val="001170AE"/>
    <w:rsid w:val="001265D5"/>
    <w:rsid w:val="00147A39"/>
    <w:rsid w:val="00151222"/>
    <w:rsid w:val="00155D91"/>
    <w:rsid w:val="00166014"/>
    <w:rsid w:val="00175EFA"/>
    <w:rsid w:val="00175FBF"/>
    <w:rsid w:val="001909E6"/>
    <w:rsid w:val="00190CE3"/>
    <w:rsid w:val="001919D1"/>
    <w:rsid w:val="001924D8"/>
    <w:rsid w:val="00197F6F"/>
    <w:rsid w:val="001C059C"/>
    <w:rsid w:val="001C48A1"/>
    <w:rsid w:val="001E4C2E"/>
    <w:rsid w:val="001F2778"/>
    <w:rsid w:val="001F3D93"/>
    <w:rsid w:val="002112AB"/>
    <w:rsid w:val="00220A92"/>
    <w:rsid w:val="002214CC"/>
    <w:rsid w:val="00236043"/>
    <w:rsid w:val="00256BB1"/>
    <w:rsid w:val="00270B8D"/>
    <w:rsid w:val="00294E93"/>
    <w:rsid w:val="002D58A7"/>
    <w:rsid w:val="002F0E9A"/>
    <w:rsid w:val="002F1512"/>
    <w:rsid w:val="002F54D9"/>
    <w:rsid w:val="003013D2"/>
    <w:rsid w:val="00304769"/>
    <w:rsid w:val="003123A5"/>
    <w:rsid w:val="00314C84"/>
    <w:rsid w:val="00321465"/>
    <w:rsid w:val="0036266E"/>
    <w:rsid w:val="00382D6F"/>
    <w:rsid w:val="003844BA"/>
    <w:rsid w:val="00393064"/>
    <w:rsid w:val="003A0C64"/>
    <w:rsid w:val="003A5AF4"/>
    <w:rsid w:val="003B5D05"/>
    <w:rsid w:val="003C4B52"/>
    <w:rsid w:val="003E0C54"/>
    <w:rsid w:val="003E711C"/>
    <w:rsid w:val="00410515"/>
    <w:rsid w:val="00410BD9"/>
    <w:rsid w:val="00411702"/>
    <w:rsid w:val="00430CE3"/>
    <w:rsid w:val="004321C5"/>
    <w:rsid w:val="004324EE"/>
    <w:rsid w:val="00435169"/>
    <w:rsid w:val="004438AE"/>
    <w:rsid w:val="00444C7D"/>
    <w:rsid w:val="00470423"/>
    <w:rsid w:val="00470769"/>
    <w:rsid w:val="00470C07"/>
    <w:rsid w:val="0047461A"/>
    <w:rsid w:val="00480F87"/>
    <w:rsid w:val="004831EE"/>
    <w:rsid w:val="0048513A"/>
    <w:rsid w:val="0049227C"/>
    <w:rsid w:val="00494103"/>
    <w:rsid w:val="004A01A1"/>
    <w:rsid w:val="004A12BA"/>
    <w:rsid w:val="004A3F0B"/>
    <w:rsid w:val="004C02A3"/>
    <w:rsid w:val="004D02EF"/>
    <w:rsid w:val="004D4A8C"/>
    <w:rsid w:val="004E53E2"/>
    <w:rsid w:val="004F4DD5"/>
    <w:rsid w:val="0051164B"/>
    <w:rsid w:val="00515506"/>
    <w:rsid w:val="00530E16"/>
    <w:rsid w:val="00532C3B"/>
    <w:rsid w:val="00546667"/>
    <w:rsid w:val="00547A5A"/>
    <w:rsid w:val="00550590"/>
    <w:rsid w:val="00552C78"/>
    <w:rsid w:val="0055648F"/>
    <w:rsid w:val="00562E84"/>
    <w:rsid w:val="00573A45"/>
    <w:rsid w:val="00583026"/>
    <w:rsid w:val="0059681A"/>
    <w:rsid w:val="005A5080"/>
    <w:rsid w:val="005A6922"/>
    <w:rsid w:val="005B3B65"/>
    <w:rsid w:val="005C0310"/>
    <w:rsid w:val="005D2F6A"/>
    <w:rsid w:val="005D3B8C"/>
    <w:rsid w:val="005D408B"/>
    <w:rsid w:val="005D4800"/>
    <w:rsid w:val="005D653E"/>
    <w:rsid w:val="005F3FA7"/>
    <w:rsid w:val="005F5DD9"/>
    <w:rsid w:val="00605277"/>
    <w:rsid w:val="006068BF"/>
    <w:rsid w:val="006120C3"/>
    <w:rsid w:val="006313E8"/>
    <w:rsid w:val="00643E17"/>
    <w:rsid w:val="006444CD"/>
    <w:rsid w:val="00646766"/>
    <w:rsid w:val="0065117D"/>
    <w:rsid w:val="0065247A"/>
    <w:rsid w:val="00663093"/>
    <w:rsid w:val="0066791F"/>
    <w:rsid w:val="00670687"/>
    <w:rsid w:val="00684337"/>
    <w:rsid w:val="00685C53"/>
    <w:rsid w:val="00690843"/>
    <w:rsid w:val="00692439"/>
    <w:rsid w:val="006925E6"/>
    <w:rsid w:val="006B7958"/>
    <w:rsid w:val="006D483F"/>
    <w:rsid w:val="006F4442"/>
    <w:rsid w:val="006F475C"/>
    <w:rsid w:val="00700C2A"/>
    <w:rsid w:val="00705271"/>
    <w:rsid w:val="00705D3A"/>
    <w:rsid w:val="00706DD5"/>
    <w:rsid w:val="007155C5"/>
    <w:rsid w:val="00717120"/>
    <w:rsid w:val="00717D94"/>
    <w:rsid w:val="00720DC6"/>
    <w:rsid w:val="00732FB9"/>
    <w:rsid w:val="007479B8"/>
    <w:rsid w:val="00752E82"/>
    <w:rsid w:val="00761546"/>
    <w:rsid w:val="007839A1"/>
    <w:rsid w:val="00796DA0"/>
    <w:rsid w:val="007A301B"/>
    <w:rsid w:val="007A4578"/>
    <w:rsid w:val="007A517C"/>
    <w:rsid w:val="007B4C8A"/>
    <w:rsid w:val="007D2F25"/>
    <w:rsid w:val="00806E4A"/>
    <w:rsid w:val="00811D25"/>
    <w:rsid w:val="00816AA4"/>
    <w:rsid w:val="00850F7B"/>
    <w:rsid w:val="008572B0"/>
    <w:rsid w:val="00860CC1"/>
    <w:rsid w:val="008A0E80"/>
    <w:rsid w:val="008A64C1"/>
    <w:rsid w:val="008B0364"/>
    <w:rsid w:val="008B4FEB"/>
    <w:rsid w:val="008B562E"/>
    <w:rsid w:val="008B5DBF"/>
    <w:rsid w:val="008B6C1F"/>
    <w:rsid w:val="008C0C1F"/>
    <w:rsid w:val="008C0F8D"/>
    <w:rsid w:val="008D111C"/>
    <w:rsid w:val="008D6DAA"/>
    <w:rsid w:val="008E2D66"/>
    <w:rsid w:val="008E440F"/>
    <w:rsid w:val="008F62C3"/>
    <w:rsid w:val="008F639C"/>
    <w:rsid w:val="00907B7F"/>
    <w:rsid w:val="009146E5"/>
    <w:rsid w:val="00924635"/>
    <w:rsid w:val="00932539"/>
    <w:rsid w:val="00935437"/>
    <w:rsid w:val="009458AD"/>
    <w:rsid w:val="009535A1"/>
    <w:rsid w:val="009736CB"/>
    <w:rsid w:val="009751D7"/>
    <w:rsid w:val="00975AE5"/>
    <w:rsid w:val="00977532"/>
    <w:rsid w:val="00981ACE"/>
    <w:rsid w:val="00983885"/>
    <w:rsid w:val="009871E4"/>
    <w:rsid w:val="009B7B36"/>
    <w:rsid w:val="009C75E5"/>
    <w:rsid w:val="009F7DF8"/>
    <w:rsid w:val="00A02DAF"/>
    <w:rsid w:val="00A04D11"/>
    <w:rsid w:val="00A05B16"/>
    <w:rsid w:val="00A254B0"/>
    <w:rsid w:val="00A36F5A"/>
    <w:rsid w:val="00A44B73"/>
    <w:rsid w:val="00A46221"/>
    <w:rsid w:val="00A526C2"/>
    <w:rsid w:val="00A600D1"/>
    <w:rsid w:val="00A834CD"/>
    <w:rsid w:val="00A9389F"/>
    <w:rsid w:val="00AA3A18"/>
    <w:rsid w:val="00AB5090"/>
    <w:rsid w:val="00AB66FD"/>
    <w:rsid w:val="00AB70A2"/>
    <w:rsid w:val="00AC5AF8"/>
    <w:rsid w:val="00AD0D57"/>
    <w:rsid w:val="00AD4C71"/>
    <w:rsid w:val="00AE4637"/>
    <w:rsid w:val="00AE5BDE"/>
    <w:rsid w:val="00B23915"/>
    <w:rsid w:val="00B30111"/>
    <w:rsid w:val="00B30B1F"/>
    <w:rsid w:val="00B34759"/>
    <w:rsid w:val="00B366FB"/>
    <w:rsid w:val="00B43D2D"/>
    <w:rsid w:val="00B450CA"/>
    <w:rsid w:val="00B456D3"/>
    <w:rsid w:val="00B46232"/>
    <w:rsid w:val="00B51057"/>
    <w:rsid w:val="00B7171B"/>
    <w:rsid w:val="00B724D4"/>
    <w:rsid w:val="00B768D2"/>
    <w:rsid w:val="00B962C4"/>
    <w:rsid w:val="00B972A6"/>
    <w:rsid w:val="00BA3BD0"/>
    <w:rsid w:val="00BC7AD7"/>
    <w:rsid w:val="00BD22B9"/>
    <w:rsid w:val="00BD73D6"/>
    <w:rsid w:val="00BF17FA"/>
    <w:rsid w:val="00C038D2"/>
    <w:rsid w:val="00C12FB3"/>
    <w:rsid w:val="00C21EF0"/>
    <w:rsid w:val="00C40C6F"/>
    <w:rsid w:val="00C438D4"/>
    <w:rsid w:val="00C46EC3"/>
    <w:rsid w:val="00C602B9"/>
    <w:rsid w:val="00C84E42"/>
    <w:rsid w:val="00C97955"/>
    <w:rsid w:val="00CA676B"/>
    <w:rsid w:val="00CB3E09"/>
    <w:rsid w:val="00CB4ECD"/>
    <w:rsid w:val="00CB7471"/>
    <w:rsid w:val="00CF39F3"/>
    <w:rsid w:val="00CF5615"/>
    <w:rsid w:val="00D10C6F"/>
    <w:rsid w:val="00D225F7"/>
    <w:rsid w:val="00D24FCB"/>
    <w:rsid w:val="00D279AF"/>
    <w:rsid w:val="00D36004"/>
    <w:rsid w:val="00D456D8"/>
    <w:rsid w:val="00D55CF5"/>
    <w:rsid w:val="00D56502"/>
    <w:rsid w:val="00D5657F"/>
    <w:rsid w:val="00D60B03"/>
    <w:rsid w:val="00D63CD1"/>
    <w:rsid w:val="00D71DF4"/>
    <w:rsid w:val="00D72ECF"/>
    <w:rsid w:val="00D7565E"/>
    <w:rsid w:val="00D756DD"/>
    <w:rsid w:val="00D7777C"/>
    <w:rsid w:val="00D87C21"/>
    <w:rsid w:val="00DA2D03"/>
    <w:rsid w:val="00DB148C"/>
    <w:rsid w:val="00DB1F02"/>
    <w:rsid w:val="00DB78A8"/>
    <w:rsid w:val="00DD5446"/>
    <w:rsid w:val="00DD60F3"/>
    <w:rsid w:val="00DE0E1F"/>
    <w:rsid w:val="00E02627"/>
    <w:rsid w:val="00E149D7"/>
    <w:rsid w:val="00E24FE8"/>
    <w:rsid w:val="00E27000"/>
    <w:rsid w:val="00E273BA"/>
    <w:rsid w:val="00E273D9"/>
    <w:rsid w:val="00E328C6"/>
    <w:rsid w:val="00E333D3"/>
    <w:rsid w:val="00E3671E"/>
    <w:rsid w:val="00E4572C"/>
    <w:rsid w:val="00E556CD"/>
    <w:rsid w:val="00E645BF"/>
    <w:rsid w:val="00E72AB8"/>
    <w:rsid w:val="00E77A42"/>
    <w:rsid w:val="00E82D0F"/>
    <w:rsid w:val="00E9406D"/>
    <w:rsid w:val="00EA0DFC"/>
    <w:rsid w:val="00EA2227"/>
    <w:rsid w:val="00EB1700"/>
    <w:rsid w:val="00EC4D47"/>
    <w:rsid w:val="00EC6DFD"/>
    <w:rsid w:val="00ED669B"/>
    <w:rsid w:val="00EF3994"/>
    <w:rsid w:val="00EF7604"/>
    <w:rsid w:val="00F046EE"/>
    <w:rsid w:val="00F07A4E"/>
    <w:rsid w:val="00F114C3"/>
    <w:rsid w:val="00F151BC"/>
    <w:rsid w:val="00F162E3"/>
    <w:rsid w:val="00F22B69"/>
    <w:rsid w:val="00F3532E"/>
    <w:rsid w:val="00F45CB1"/>
    <w:rsid w:val="00F47B2C"/>
    <w:rsid w:val="00F52274"/>
    <w:rsid w:val="00F55F9B"/>
    <w:rsid w:val="00F57887"/>
    <w:rsid w:val="00F60C7A"/>
    <w:rsid w:val="00F678FE"/>
    <w:rsid w:val="00F802C8"/>
    <w:rsid w:val="00F80666"/>
    <w:rsid w:val="00F81FD3"/>
    <w:rsid w:val="00F85259"/>
    <w:rsid w:val="00F95045"/>
    <w:rsid w:val="00F9760E"/>
    <w:rsid w:val="00FA792C"/>
    <w:rsid w:val="00FB3E5D"/>
    <w:rsid w:val="00FB5B8A"/>
    <w:rsid w:val="00FB688F"/>
    <w:rsid w:val="00FE17AD"/>
    <w:rsid w:val="00FF0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1A"/>
  </w:style>
  <w:style w:type="paragraph" w:styleId="Heading1">
    <w:name w:val="heading 1"/>
    <w:basedOn w:val="Normal"/>
    <w:next w:val="Normal"/>
    <w:qFormat/>
    <w:pPr>
      <w:keepNext/>
      <w:ind w:left="60"/>
      <w:outlineLvl w:val="0"/>
    </w:pPr>
    <w:rPr>
      <w:rFonts w:ascii="Arial" w:hAnsi="Arial"/>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4"/>
      <w:u w:val="single"/>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ind w:left="60"/>
      <w:jc w:val="center"/>
      <w:outlineLvl w:val="7"/>
    </w:pPr>
    <w:rPr>
      <w:rFonts w:ascii="Arial" w:hAnsi="Arial"/>
      <w:b/>
      <w:sz w:val="24"/>
      <w:u w:val="single"/>
    </w:rPr>
  </w:style>
  <w:style w:type="paragraph" w:styleId="Heading9">
    <w:name w:val="heading 9"/>
    <w:basedOn w:val="Normal"/>
    <w:next w:val="Normal"/>
    <w:qFormat/>
    <w:pPr>
      <w:keepNext/>
      <w:outlineLvl w:val="8"/>
    </w:pPr>
    <w:rPr>
      <w:rFonts w:ascii="MS Sans Serif" w:hAnsi="MS Sans Serif"/>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2">
    <w:name w:val="Body Text 2"/>
    <w:basedOn w:val="Normal"/>
    <w:semiHidden/>
    <w:rPr>
      <w:rFonts w:ascii="Arial" w:hAnsi="Arial"/>
      <w:b/>
      <w:sz w:val="24"/>
    </w:rPr>
  </w:style>
  <w:style w:type="paragraph" w:styleId="BodyText3">
    <w:name w:val="Body Text 3"/>
    <w:basedOn w:val="Normal"/>
    <w:semiHidden/>
    <w:rPr>
      <w:rFonts w:ascii="Arial" w:hAnsi="Arial"/>
      <w:b/>
      <w:sz w:val="24"/>
      <w:u w:val="single"/>
    </w:rPr>
  </w:style>
  <w:style w:type="character" w:styleId="Hyperlink">
    <w:name w:val="Hyperlink"/>
    <w:uiPriority w:val="99"/>
    <w:rPr>
      <w:color w:val="0000FF"/>
      <w:u w:val="single"/>
    </w:rPr>
  </w:style>
  <w:style w:type="paragraph" w:styleId="BodyTextIndent">
    <w:name w:val="Body Text Indent"/>
    <w:basedOn w:val="Normal"/>
    <w:semiHidden/>
    <w:rPr>
      <w:rFonts w:ascii="Arial" w:hAnsi="Arial"/>
      <w:sz w:val="22"/>
      <w:u w:val="single"/>
      <w:lang w:eastAsia="en-US"/>
    </w:rPr>
  </w:style>
  <w:style w:type="character" w:styleId="CommentReference">
    <w:name w:val="annotation reference"/>
    <w:semiHidden/>
    <w:rPr>
      <w:sz w:val="16"/>
    </w:rPr>
  </w:style>
  <w:style w:type="paragraph" w:styleId="CommentText">
    <w:name w:val="annotation text"/>
    <w:basedOn w:val="Normal"/>
    <w:link w:val="CommentTextChar"/>
    <w:semiHidden/>
    <w:rPr>
      <w:rFonts w:ascii="Arial" w:hAnsi="Arial"/>
      <w:lang w:eastAsia="en-U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CommentSubject">
    <w:name w:val="annotation subject"/>
    <w:basedOn w:val="CommentText"/>
    <w:next w:val="CommentText"/>
    <w:link w:val="CommentSubjectChar"/>
    <w:uiPriority w:val="99"/>
    <w:semiHidden/>
    <w:unhideWhenUsed/>
    <w:rsid w:val="00F52274"/>
    <w:rPr>
      <w:rFonts w:ascii="Times New Roman" w:hAnsi="Times New Roman"/>
      <w:b/>
      <w:bCs/>
      <w:lang w:eastAsia="en-GB"/>
    </w:rPr>
  </w:style>
  <w:style w:type="character" w:customStyle="1" w:styleId="CommentTextChar">
    <w:name w:val="Comment Text Char"/>
    <w:link w:val="CommentText"/>
    <w:semiHidden/>
    <w:rsid w:val="00F52274"/>
    <w:rPr>
      <w:rFonts w:ascii="Arial" w:hAnsi="Arial"/>
      <w:lang w:eastAsia="en-US"/>
    </w:rPr>
  </w:style>
  <w:style w:type="character" w:customStyle="1" w:styleId="CommentSubjectChar">
    <w:name w:val="Comment Subject Char"/>
    <w:basedOn w:val="CommentTextChar"/>
    <w:link w:val="CommentSubject"/>
    <w:rsid w:val="00F52274"/>
    <w:rPr>
      <w:rFonts w:ascii="Arial" w:hAnsi="Arial"/>
      <w:lang w:eastAsia="en-US"/>
    </w:rPr>
  </w:style>
  <w:style w:type="paragraph" w:styleId="BalloonText">
    <w:name w:val="Balloon Text"/>
    <w:basedOn w:val="Normal"/>
    <w:link w:val="BalloonTextChar"/>
    <w:uiPriority w:val="99"/>
    <w:semiHidden/>
    <w:unhideWhenUsed/>
    <w:rsid w:val="00F52274"/>
    <w:rPr>
      <w:rFonts w:ascii="Tahoma" w:hAnsi="Tahoma" w:cs="Tahoma"/>
      <w:sz w:val="16"/>
      <w:szCs w:val="16"/>
    </w:rPr>
  </w:style>
  <w:style w:type="character" w:customStyle="1" w:styleId="BalloonTextChar">
    <w:name w:val="Balloon Text Char"/>
    <w:link w:val="BalloonText"/>
    <w:uiPriority w:val="99"/>
    <w:semiHidden/>
    <w:rsid w:val="00F52274"/>
    <w:rPr>
      <w:rFonts w:ascii="Tahoma" w:hAnsi="Tahoma" w:cs="Tahoma"/>
      <w:sz w:val="16"/>
      <w:szCs w:val="16"/>
    </w:rPr>
  </w:style>
  <w:style w:type="paragraph" w:customStyle="1" w:styleId="Default">
    <w:name w:val="Default"/>
    <w:rsid w:val="009535A1"/>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9535A1"/>
    <w:pPr>
      <w:spacing w:after="270"/>
    </w:pPr>
    <w:rPr>
      <w:color w:val="auto"/>
    </w:rPr>
  </w:style>
  <w:style w:type="character" w:customStyle="1" w:styleId="FooterChar">
    <w:name w:val="Footer Char"/>
    <w:basedOn w:val="DefaultParagraphFont"/>
    <w:link w:val="Footer"/>
    <w:uiPriority w:val="99"/>
    <w:rsid w:val="009535A1"/>
  </w:style>
  <w:style w:type="character" w:customStyle="1" w:styleId="HeaderChar">
    <w:name w:val="Header Char"/>
    <w:basedOn w:val="DefaultParagraphFont"/>
    <w:link w:val="Header"/>
    <w:uiPriority w:val="99"/>
    <w:rsid w:val="009535A1"/>
  </w:style>
  <w:style w:type="table" w:styleId="TableGrid">
    <w:name w:val="Table Grid"/>
    <w:basedOn w:val="TableNormal"/>
    <w:uiPriority w:val="59"/>
    <w:rsid w:val="00E32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mText">
    <w:name w:val="BomText"/>
    <w:basedOn w:val="Normal"/>
    <w:link w:val="BomTextChar1"/>
    <w:rsid w:val="00685C53"/>
    <w:pPr>
      <w:tabs>
        <w:tab w:val="left" w:pos="851"/>
        <w:tab w:val="left" w:pos="1701"/>
        <w:tab w:val="left" w:pos="2552"/>
        <w:tab w:val="left" w:pos="3402"/>
        <w:tab w:val="right" w:pos="9072"/>
      </w:tabs>
      <w:spacing w:after="240" w:line="288" w:lineRule="auto"/>
      <w:jc w:val="both"/>
    </w:pPr>
    <w:rPr>
      <w:rFonts w:ascii="Arial" w:hAnsi="Arial"/>
      <w:kern w:val="16"/>
      <w:sz w:val="24"/>
      <w:lang w:eastAsia="en-US"/>
    </w:rPr>
  </w:style>
  <w:style w:type="paragraph" w:customStyle="1" w:styleId="TableText">
    <w:name w:val="Table Text"/>
    <w:basedOn w:val="Normal"/>
    <w:link w:val="TableTextChar1"/>
    <w:rsid w:val="00685C53"/>
    <w:pPr>
      <w:tabs>
        <w:tab w:val="left" w:pos="851"/>
        <w:tab w:val="left" w:pos="1701"/>
        <w:tab w:val="left" w:pos="2552"/>
        <w:tab w:val="left" w:pos="3402"/>
        <w:tab w:val="right" w:pos="9072"/>
      </w:tabs>
      <w:spacing w:line="288" w:lineRule="auto"/>
    </w:pPr>
    <w:rPr>
      <w:rFonts w:ascii="Arial" w:hAnsi="Arial"/>
      <w:kern w:val="16"/>
      <w:sz w:val="24"/>
      <w:lang w:eastAsia="en-US"/>
    </w:rPr>
  </w:style>
  <w:style w:type="character" w:customStyle="1" w:styleId="BomTextChar1">
    <w:name w:val="BomText Char1"/>
    <w:link w:val="BomText"/>
    <w:rsid w:val="00685C53"/>
    <w:rPr>
      <w:rFonts w:ascii="Arial" w:hAnsi="Arial"/>
      <w:kern w:val="16"/>
      <w:sz w:val="24"/>
      <w:lang w:eastAsia="en-US"/>
    </w:rPr>
  </w:style>
  <w:style w:type="character" w:customStyle="1" w:styleId="TableTextChar1">
    <w:name w:val="Table Text Char1"/>
    <w:link w:val="TableText"/>
    <w:rsid w:val="00685C53"/>
    <w:rPr>
      <w:rFonts w:ascii="Arial" w:hAnsi="Arial"/>
      <w:kern w:val="16"/>
      <w:sz w:val="24"/>
      <w:lang w:eastAsia="en-US"/>
    </w:rPr>
  </w:style>
  <w:style w:type="paragraph" w:customStyle="1" w:styleId="BomTextInd">
    <w:name w:val="BomText Ind"/>
    <w:basedOn w:val="Normal"/>
    <w:link w:val="BomTextIndCharChar"/>
    <w:rsid w:val="0066791F"/>
    <w:pPr>
      <w:numPr>
        <w:numId w:val="5"/>
      </w:numPr>
      <w:tabs>
        <w:tab w:val="left" w:pos="1701"/>
        <w:tab w:val="left" w:pos="2552"/>
        <w:tab w:val="left" w:pos="3402"/>
        <w:tab w:val="right" w:pos="9072"/>
      </w:tabs>
      <w:spacing w:after="240" w:line="288" w:lineRule="auto"/>
      <w:jc w:val="both"/>
    </w:pPr>
    <w:rPr>
      <w:rFonts w:ascii="Arial" w:hAnsi="Arial"/>
      <w:kern w:val="16"/>
      <w:sz w:val="24"/>
      <w:lang w:eastAsia="en-US"/>
    </w:rPr>
  </w:style>
  <w:style w:type="paragraph" w:customStyle="1" w:styleId="BulletIndented">
    <w:name w:val="Bullet Indented"/>
    <w:basedOn w:val="Normal"/>
    <w:rsid w:val="0066791F"/>
    <w:pPr>
      <w:numPr>
        <w:numId w:val="4"/>
      </w:numPr>
      <w:tabs>
        <w:tab w:val="left" w:pos="567"/>
        <w:tab w:val="left" w:pos="851"/>
        <w:tab w:val="left" w:pos="3402"/>
        <w:tab w:val="right" w:pos="9072"/>
      </w:tabs>
      <w:spacing w:after="240" w:line="288" w:lineRule="auto"/>
      <w:jc w:val="both"/>
    </w:pPr>
    <w:rPr>
      <w:rFonts w:ascii="Arial" w:hAnsi="Arial"/>
      <w:kern w:val="16"/>
      <w:sz w:val="24"/>
      <w:lang w:eastAsia="en-US"/>
    </w:rPr>
  </w:style>
  <w:style w:type="character" w:customStyle="1" w:styleId="BomTextIndCharChar">
    <w:name w:val="BomText Ind Char Char"/>
    <w:link w:val="BomTextInd"/>
    <w:rsid w:val="0066791F"/>
    <w:rPr>
      <w:rFonts w:ascii="Arial" w:hAnsi="Arial"/>
      <w:kern w:val="16"/>
      <w:sz w:val="24"/>
      <w:lang w:eastAsia="en-US"/>
    </w:rPr>
  </w:style>
  <w:style w:type="paragraph" w:customStyle="1" w:styleId="FSAGuidanceHeading2">
    <w:name w:val="FSA Guidance Heading 2"/>
    <w:basedOn w:val="Heading1"/>
    <w:qFormat/>
    <w:rsid w:val="0066791F"/>
    <w:pPr>
      <w:spacing w:after="160" w:line="288" w:lineRule="auto"/>
      <w:ind w:left="0"/>
    </w:pPr>
    <w:rPr>
      <w:rFonts w:ascii="Arial Black" w:hAnsi="Arial Black"/>
      <w:kern w:val="16"/>
      <w:szCs w:val="28"/>
      <w:lang w:eastAsia="en-US"/>
    </w:rPr>
  </w:style>
  <w:style w:type="paragraph" w:styleId="Title">
    <w:name w:val="Title"/>
    <w:basedOn w:val="TableText"/>
    <w:next w:val="Normal"/>
    <w:link w:val="TitleChar"/>
    <w:qFormat/>
    <w:rsid w:val="00BD22B9"/>
    <w:rPr>
      <w:rFonts w:cs="Arial"/>
      <w:b/>
      <w:sz w:val="44"/>
      <w:szCs w:val="44"/>
    </w:rPr>
  </w:style>
  <w:style w:type="character" w:customStyle="1" w:styleId="TitleChar">
    <w:name w:val="Title Char"/>
    <w:link w:val="Title"/>
    <w:rsid w:val="00BD22B9"/>
    <w:rPr>
      <w:rFonts w:ascii="Arial" w:hAnsi="Arial" w:cs="Arial"/>
      <w:b/>
      <w:kern w:val="16"/>
      <w:sz w:val="44"/>
      <w:szCs w:val="44"/>
      <w:lang w:eastAsia="en-US"/>
    </w:rPr>
  </w:style>
  <w:style w:type="paragraph" w:customStyle="1" w:styleId="Bulletindent">
    <w:name w:val="Bullet indent"/>
    <w:basedOn w:val="BodyTextIndent"/>
    <w:link w:val="BulletindentChar"/>
    <w:rsid w:val="001C059C"/>
    <w:pPr>
      <w:numPr>
        <w:numId w:val="6"/>
      </w:numPr>
      <w:spacing w:after="240" w:line="264" w:lineRule="auto"/>
    </w:pPr>
    <w:rPr>
      <w:snapToGrid w:val="0"/>
      <w:sz w:val="20"/>
      <w:u w:val="none"/>
    </w:rPr>
  </w:style>
  <w:style w:type="paragraph" w:customStyle="1" w:styleId="FSAGuidancebullet">
    <w:name w:val="FSA Guidance bullet"/>
    <w:basedOn w:val="Bulletindent"/>
    <w:link w:val="FSAGuiidancebulletChar"/>
    <w:qFormat/>
    <w:rsid w:val="001C059C"/>
    <w:rPr>
      <w:sz w:val="24"/>
      <w:szCs w:val="24"/>
    </w:rPr>
  </w:style>
  <w:style w:type="character" w:customStyle="1" w:styleId="BulletindentChar">
    <w:name w:val="Bullet indent Char"/>
    <w:link w:val="Bulletindent"/>
    <w:rsid w:val="001C059C"/>
    <w:rPr>
      <w:rFonts w:ascii="Arial" w:hAnsi="Arial"/>
      <w:snapToGrid w:val="0"/>
      <w:lang w:eastAsia="en-US"/>
    </w:rPr>
  </w:style>
  <w:style w:type="character" w:customStyle="1" w:styleId="FSAGuiidancebulletChar">
    <w:name w:val="FSA Guiidance bullet Char"/>
    <w:link w:val="FSAGuidancebullet"/>
    <w:rsid w:val="001C059C"/>
    <w:rPr>
      <w:rFonts w:ascii="Arial" w:hAnsi="Arial"/>
      <w:snapToGrid w:val="0"/>
      <w:sz w:val="24"/>
      <w:szCs w:val="24"/>
      <w:lang w:eastAsia="en-US"/>
    </w:rPr>
  </w:style>
  <w:style w:type="paragraph" w:styleId="ListParagraph">
    <w:name w:val="List Paragraph"/>
    <w:basedOn w:val="Normal"/>
    <w:link w:val="ListParagraphChar"/>
    <w:uiPriority w:val="34"/>
    <w:qFormat/>
    <w:rsid w:val="001C059C"/>
    <w:pPr>
      <w:tabs>
        <w:tab w:val="left" w:pos="851"/>
        <w:tab w:val="left" w:pos="1701"/>
        <w:tab w:val="left" w:pos="2552"/>
        <w:tab w:val="left" w:pos="3402"/>
        <w:tab w:val="right" w:pos="9072"/>
      </w:tabs>
      <w:spacing w:after="240" w:line="288" w:lineRule="auto"/>
      <w:ind w:left="720"/>
      <w:contextualSpacing/>
      <w:jc w:val="both"/>
    </w:pPr>
    <w:rPr>
      <w:rFonts w:ascii="Arial" w:hAnsi="Arial"/>
      <w:kern w:val="16"/>
      <w:sz w:val="24"/>
      <w:lang w:eastAsia="en-US"/>
    </w:rPr>
  </w:style>
  <w:style w:type="paragraph" w:customStyle="1" w:styleId="CM3">
    <w:name w:val="CM3"/>
    <w:basedOn w:val="Default"/>
    <w:next w:val="Default"/>
    <w:uiPriority w:val="99"/>
    <w:rsid w:val="001C059C"/>
    <w:pPr>
      <w:spacing w:line="278" w:lineRule="atLeast"/>
    </w:pPr>
    <w:rPr>
      <w:color w:val="auto"/>
    </w:rPr>
  </w:style>
  <w:style w:type="paragraph" w:styleId="FootnoteText">
    <w:name w:val="footnote text"/>
    <w:basedOn w:val="Normal"/>
    <w:link w:val="FootnoteTextChar"/>
    <w:uiPriority w:val="99"/>
    <w:unhideWhenUsed/>
    <w:rsid w:val="008572B0"/>
  </w:style>
  <w:style w:type="character" w:customStyle="1" w:styleId="FootnoteTextChar">
    <w:name w:val="Footnote Text Char"/>
    <w:basedOn w:val="DefaultParagraphFont"/>
    <w:link w:val="FootnoteText"/>
    <w:uiPriority w:val="99"/>
    <w:rsid w:val="008572B0"/>
  </w:style>
  <w:style w:type="character" w:styleId="FootnoteReference">
    <w:name w:val="footnote reference"/>
    <w:uiPriority w:val="99"/>
    <w:semiHidden/>
    <w:unhideWhenUsed/>
    <w:rsid w:val="008572B0"/>
    <w:rPr>
      <w:vertAlign w:val="superscript"/>
    </w:rPr>
  </w:style>
  <w:style w:type="paragraph" w:styleId="PlainText">
    <w:name w:val="Plain Text"/>
    <w:basedOn w:val="Normal"/>
    <w:link w:val="PlainTextChar"/>
    <w:uiPriority w:val="99"/>
    <w:unhideWhenUsed/>
    <w:rsid w:val="008E2D66"/>
    <w:rPr>
      <w:rFonts w:ascii="Arial" w:eastAsia="Calibri" w:hAnsi="Arial"/>
      <w:sz w:val="24"/>
      <w:szCs w:val="21"/>
      <w:lang w:eastAsia="en-US"/>
    </w:rPr>
  </w:style>
  <w:style w:type="character" w:customStyle="1" w:styleId="PlainTextChar">
    <w:name w:val="Plain Text Char"/>
    <w:link w:val="PlainText"/>
    <w:uiPriority w:val="99"/>
    <w:rsid w:val="008E2D66"/>
    <w:rPr>
      <w:rFonts w:ascii="Arial" w:eastAsia="Calibri" w:hAnsi="Arial"/>
      <w:sz w:val="24"/>
      <w:szCs w:val="21"/>
      <w:lang w:eastAsia="en-US"/>
    </w:rPr>
  </w:style>
  <w:style w:type="paragraph" w:styleId="TOCHeading">
    <w:name w:val="TOC Heading"/>
    <w:basedOn w:val="Heading1"/>
    <w:next w:val="Normal"/>
    <w:uiPriority w:val="39"/>
    <w:semiHidden/>
    <w:unhideWhenUsed/>
    <w:qFormat/>
    <w:rsid w:val="000E6D48"/>
    <w:pPr>
      <w:keepLines/>
      <w:spacing w:before="480" w:line="276" w:lineRule="auto"/>
      <w:ind w:left="0"/>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0E6D48"/>
  </w:style>
  <w:style w:type="paragraph" w:styleId="TOC3">
    <w:name w:val="toc 3"/>
    <w:basedOn w:val="Normal"/>
    <w:next w:val="Normal"/>
    <w:autoRedefine/>
    <w:uiPriority w:val="39"/>
    <w:unhideWhenUsed/>
    <w:rsid w:val="000E6D48"/>
    <w:pPr>
      <w:ind w:left="400"/>
    </w:pPr>
  </w:style>
  <w:style w:type="character" w:styleId="Strong">
    <w:name w:val="Strong"/>
    <w:uiPriority w:val="22"/>
    <w:qFormat/>
    <w:rsid w:val="00314C84"/>
    <w:rPr>
      <w:b/>
      <w:bCs/>
    </w:rPr>
  </w:style>
  <w:style w:type="paragraph" w:customStyle="1" w:styleId="CM1">
    <w:name w:val="CM1"/>
    <w:basedOn w:val="Default"/>
    <w:next w:val="Default"/>
    <w:uiPriority w:val="99"/>
    <w:rsid w:val="00175EFA"/>
    <w:pPr>
      <w:widowControl/>
    </w:pPr>
    <w:rPr>
      <w:rFonts w:ascii="Times New Roman" w:hAnsi="Times New Roman" w:cs="Times New Roman"/>
      <w:color w:val="auto"/>
    </w:rPr>
  </w:style>
  <w:style w:type="paragraph" w:customStyle="1" w:styleId="CM4">
    <w:name w:val="CM4"/>
    <w:basedOn w:val="Default"/>
    <w:next w:val="Default"/>
    <w:uiPriority w:val="99"/>
    <w:rsid w:val="00175EFA"/>
    <w:pPr>
      <w:widowControl/>
    </w:pPr>
    <w:rPr>
      <w:rFonts w:ascii="Times New Roman" w:hAnsi="Times New Roman" w:cs="Times New Roman"/>
      <w:color w:val="auto"/>
    </w:rPr>
  </w:style>
  <w:style w:type="paragraph" w:customStyle="1" w:styleId="Bulletted">
    <w:name w:val="Bulletted"/>
    <w:basedOn w:val="Normal"/>
    <w:next w:val="Normal"/>
    <w:rsid w:val="004A3F0B"/>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sz w:val="24"/>
      <w:lang w:eastAsia="en-US"/>
    </w:rPr>
  </w:style>
  <w:style w:type="character" w:customStyle="1" w:styleId="ListParagraphChar">
    <w:name w:val="List Paragraph Char"/>
    <w:link w:val="ListParagraph"/>
    <w:uiPriority w:val="34"/>
    <w:locked/>
    <w:rsid w:val="004A3F0B"/>
    <w:rPr>
      <w:rFonts w:ascii="Arial" w:hAnsi="Arial"/>
      <w:kern w:val="16"/>
      <w:sz w:val="24"/>
      <w:lang w:eastAsia="en-US"/>
    </w:rPr>
  </w:style>
  <w:style w:type="paragraph" w:styleId="Subtitle">
    <w:name w:val="Subtitle"/>
    <w:basedOn w:val="Normal"/>
    <w:next w:val="Normal"/>
    <w:link w:val="SubtitleChar"/>
    <w:uiPriority w:val="11"/>
    <w:qFormat/>
    <w:rsid w:val="00E72AB8"/>
    <w:pPr>
      <w:spacing w:after="60"/>
      <w:jc w:val="center"/>
      <w:outlineLvl w:val="1"/>
    </w:pPr>
    <w:rPr>
      <w:rFonts w:ascii="Cambria" w:hAnsi="Cambria"/>
      <w:sz w:val="24"/>
      <w:szCs w:val="24"/>
    </w:rPr>
  </w:style>
  <w:style w:type="character" w:customStyle="1" w:styleId="SubtitleChar">
    <w:name w:val="Subtitle Char"/>
    <w:link w:val="Subtitle"/>
    <w:uiPriority w:val="11"/>
    <w:rsid w:val="00E72AB8"/>
    <w:rPr>
      <w:rFonts w:ascii="Cambria" w:eastAsia="Times New Roman" w:hAnsi="Cambria" w:cs="Times New Roman"/>
      <w:sz w:val="24"/>
      <w:szCs w:val="24"/>
    </w:rPr>
  </w:style>
  <w:style w:type="table" w:customStyle="1" w:styleId="TableGrid1">
    <w:name w:val="Table Grid1"/>
    <w:basedOn w:val="TableNormal"/>
    <w:next w:val="TableGrid"/>
    <w:uiPriority w:val="59"/>
    <w:rsid w:val="00175F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175FBF"/>
    <w:pPr>
      <w:ind w:left="200"/>
    </w:pPr>
  </w:style>
  <w:style w:type="paragraph" w:styleId="Revision">
    <w:name w:val="Revision"/>
    <w:hidden/>
    <w:uiPriority w:val="99"/>
    <w:semiHidden/>
    <w:rsid w:val="00651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1A"/>
  </w:style>
  <w:style w:type="paragraph" w:styleId="Heading1">
    <w:name w:val="heading 1"/>
    <w:basedOn w:val="Normal"/>
    <w:next w:val="Normal"/>
    <w:qFormat/>
    <w:pPr>
      <w:keepNext/>
      <w:ind w:left="60"/>
      <w:outlineLvl w:val="0"/>
    </w:pPr>
    <w:rPr>
      <w:rFonts w:ascii="Arial" w:hAnsi="Arial"/>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4"/>
      <w:u w:val="single"/>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ind w:left="60"/>
      <w:jc w:val="center"/>
      <w:outlineLvl w:val="7"/>
    </w:pPr>
    <w:rPr>
      <w:rFonts w:ascii="Arial" w:hAnsi="Arial"/>
      <w:b/>
      <w:sz w:val="24"/>
      <w:u w:val="single"/>
    </w:rPr>
  </w:style>
  <w:style w:type="paragraph" w:styleId="Heading9">
    <w:name w:val="heading 9"/>
    <w:basedOn w:val="Normal"/>
    <w:next w:val="Normal"/>
    <w:qFormat/>
    <w:pPr>
      <w:keepNext/>
      <w:outlineLvl w:val="8"/>
    </w:pPr>
    <w:rPr>
      <w:rFonts w:ascii="MS Sans Serif" w:hAnsi="MS Sans Serif"/>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2">
    <w:name w:val="Body Text 2"/>
    <w:basedOn w:val="Normal"/>
    <w:semiHidden/>
    <w:rPr>
      <w:rFonts w:ascii="Arial" w:hAnsi="Arial"/>
      <w:b/>
      <w:sz w:val="24"/>
    </w:rPr>
  </w:style>
  <w:style w:type="paragraph" w:styleId="BodyText3">
    <w:name w:val="Body Text 3"/>
    <w:basedOn w:val="Normal"/>
    <w:semiHidden/>
    <w:rPr>
      <w:rFonts w:ascii="Arial" w:hAnsi="Arial"/>
      <w:b/>
      <w:sz w:val="24"/>
      <w:u w:val="single"/>
    </w:rPr>
  </w:style>
  <w:style w:type="character" w:styleId="Hyperlink">
    <w:name w:val="Hyperlink"/>
    <w:uiPriority w:val="99"/>
    <w:rPr>
      <w:color w:val="0000FF"/>
      <w:u w:val="single"/>
    </w:rPr>
  </w:style>
  <w:style w:type="paragraph" w:styleId="BodyTextIndent">
    <w:name w:val="Body Text Indent"/>
    <w:basedOn w:val="Normal"/>
    <w:semiHidden/>
    <w:rPr>
      <w:rFonts w:ascii="Arial" w:hAnsi="Arial"/>
      <w:sz w:val="22"/>
      <w:u w:val="single"/>
      <w:lang w:eastAsia="en-US"/>
    </w:rPr>
  </w:style>
  <w:style w:type="character" w:styleId="CommentReference">
    <w:name w:val="annotation reference"/>
    <w:semiHidden/>
    <w:rPr>
      <w:sz w:val="16"/>
    </w:rPr>
  </w:style>
  <w:style w:type="paragraph" w:styleId="CommentText">
    <w:name w:val="annotation text"/>
    <w:basedOn w:val="Normal"/>
    <w:link w:val="CommentTextChar"/>
    <w:semiHidden/>
    <w:rPr>
      <w:rFonts w:ascii="Arial" w:hAnsi="Arial"/>
      <w:lang w:eastAsia="en-U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CommentSubject">
    <w:name w:val="annotation subject"/>
    <w:basedOn w:val="CommentText"/>
    <w:next w:val="CommentText"/>
    <w:link w:val="CommentSubjectChar"/>
    <w:uiPriority w:val="99"/>
    <w:semiHidden/>
    <w:unhideWhenUsed/>
    <w:rsid w:val="00F52274"/>
    <w:rPr>
      <w:rFonts w:ascii="Times New Roman" w:hAnsi="Times New Roman"/>
      <w:b/>
      <w:bCs/>
      <w:lang w:eastAsia="en-GB"/>
    </w:rPr>
  </w:style>
  <w:style w:type="character" w:customStyle="1" w:styleId="CommentTextChar">
    <w:name w:val="Comment Text Char"/>
    <w:link w:val="CommentText"/>
    <w:semiHidden/>
    <w:rsid w:val="00F52274"/>
    <w:rPr>
      <w:rFonts w:ascii="Arial" w:hAnsi="Arial"/>
      <w:lang w:eastAsia="en-US"/>
    </w:rPr>
  </w:style>
  <w:style w:type="character" w:customStyle="1" w:styleId="CommentSubjectChar">
    <w:name w:val="Comment Subject Char"/>
    <w:basedOn w:val="CommentTextChar"/>
    <w:link w:val="CommentSubject"/>
    <w:rsid w:val="00F52274"/>
    <w:rPr>
      <w:rFonts w:ascii="Arial" w:hAnsi="Arial"/>
      <w:lang w:eastAsia="en-US"/>
    </w:rPr>
  </w:style>
  <w:style w:type="paragraph" w:styleId="BalloonText">
    <w:name w:val="Balloon Text"/>
    <w:basedOn w:val="Normal"/>
    <w:link w:val="BalloonTextChar"/>
    <w:uiPriority w:val="99"/>
    <w:semiHidden/>
    <w:unhideWhenUsed/>
    <w:rsid w:val="00F52274"/>
    <w:rPr>
      <w:rFonts w:ascii="Tahoma" w:hAnsi="Tahoma" w:cs="Tahoma"/>
      <w:sz w:val="16"/>
      <w:szCs w:val="16"/>
    </w:rPr>
  </w:style>
  <w:style w:type="character" w:customStyle="1" w:styleId="BalloonTextChar">
    <w:name w:val="Balloon Text Char"/>
    <w:link w:val="BalloonText"/>
    <w:uiPriority w:val="99"/>
    <w:semiHidden/>
    <w:rsid w:val="00F52274"/>
    <w:rPr>
      <w:rFonts w:ascii="Tahoma" w:hAnsi="Tahoma" w:cs="Tahoma"/>
      <w:sz w:val="16"/>
      <w:szCs w:val="16"/>
    </w:rPr>
  </w:style>
  <w:style w:type="paragraph" w:customStyle="1" w:styleId="Default">
    <w:name w:val="Default"/>
    <w:rsid w:val="009535A1"/>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9535A1"/>
    <w:pPr>
      <w:spacing w:after="270"/>
    </w:pPr>
    <w:rPr>
      <w:color w:val="auto"/>
    </w:rPr>
  </w:style>
  <w:style w:type="character" w:customStyle="1" w:styleId="FooterChar">
    <w:name w:val="Footer Char"/>
    <w:basedOn w:val="DefaultParagraphFont"/>
    <w:link w:val="Footer"/>
    <w:uiPriority w:val="99"/>
    <w:rsid w:val="009535A1"/>
  </w:style>
  <w:style w:type="character" w:customStyle="1" w:styleId="HeaderChar">
    <w:name w:val="Header Char"/>
    <w:basedOn w:val="DefaultParagraphFont"/>
    <w:link w:val="Header"/>
    <w:uiPriority w:val="99"/>
    <w:rsid w:val="009535A1"/>
  </w:style>
  <w:style w:type="table" w:styleId="TableGrid">
    <w:name w:val="Table Grid"/>
    <w:basedOn w:val="TableNormal"/>
    <w:uiPriority w:val="59"/>
    <w:rsid w:val="00E32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mText">
    <w:name w:val="BomText"/>
    <w:basedOn w:val="Normal"/>
    <w:link w:val="BomTextChar1"/>
    <w:rsid w:val="00685C53"/>
    <w:pPr>
      <w:tabs>
        <w:tab w:val="left" w:pos="851"/>
        <w:tab w:val="left" w:pos="1701"/>
        <w:tab w:val="left" w:pos="2552"/>
        <w:tab w:val="left" w:pos="3402"/>
        <w:tab w:val="right" w:pos="9072"/>
      </w:tabs>
      <w:spacing w:after="240" w:line="288" w:lineRule="auto"/>
      <w:jc w:val="both"/>
    </w:pPr>
    <w:rPr>
      <w:rFonts w:ascii="Arial" w:hAnsi="Arial"/>
      <w:kern w:val="16"/>
      <w:sz w:val="24"/>
      <w:lang w:eastAsia="en-US"/>
    </w:rPr>
  </w:style>
  <w:style w:type="paragraph" w:customStyle="1" w:styleId="TableText">
    <w:name w:val="Table Text"/>
    <w:basedOn w:val="Normal"/>
    <w:link w:val="TableTextChar1"/>
    <w:rsid w:val="00685C53"/>
    <w:pPr>
      <w:tabs>
        <w:tab w:val="left" w:pos="851"/>
        <w:tab w:val="left" w:pos="1701"/>
        <w:tab w:val="left" w:pos="2552"/>
        <w:tab w:val="left" w:pos="3402"/>
        <w:tab w:val="right" w:pos="9072"/>
      </w:tabs>
      <w:spacing w:line="288" w:lineRule="auto"/>
    </w:pPr>
    <w:rPr>
      <w:rFonts w:ascii="Arial" w:hAnsi="Arial"/>
      <w:kern w:val="16"/>
      <w:sz w:val="24"/>
      <w:lang w:eastAsia="en-US"/>
    </w:rPr>
  </w:style>
  <w:style w:type="character" w:customStyle="1" w:styleId="BomTextChar1">
    <w:name w:val="BomText Char1"/>
    <w:link w:val="BomText"/>
    <w:rsid w:val="00685C53"/>
    <w:rPr>
      <w:rFonts w:ascii="Arial" w:hAnsi="Arial"/>
      <w:kern w:val="16"/>
      <w:sz w:val="24"/>
      <w:lang w:eastAsia="en-US"/>
    </w:rPr>
  </w:style>
  <w:style w:type="character" w:customStyle="1" w:styleId="TableTextChar1">
    <w:name w:val="Table Text Char1"/>
    <w:link w:val="TableText"/>
    <w:rsid w:val="00685C53"/>
    <w:rPr>
      <w:rFonts w:ascii="Arial" w:hAnsi="Arial"/>
      <w:kern w:val="16"/>
      <w:sz w:val="24"/>
      <w:lang w:eastAsia="en-US"/>
    </w:rPr>
  </w:style>
  <w:style w:type="paragraph" w:customStyle="1" w:styleId="BomTextInd">
    <w:name w:val="BomText Ind"/>
    <w:basedOn w:val="Normal"/>
    <w:link w:val="BomTextIndCharChar"/>
    <w:rsid w:val="0066791F"/>
    <w:pPr>
      <w:numPr>
        <w:numId w:val="5"/>
      </w:numPr>
      <w:tabs>
        <w:tab w:val="left" w:pos="1701"/>
        <w:tab w:val="left" w:pos="2552"/>
        <w:tab w:val="left" w:pos="3402"/>
        <w:tab w:val="right" w:pos="9072"/>
      </w:tabs>
      <w:spacing w:after="240" w:line="288" w:lineRule="auto"/>
      <w:jc w:val="both"/>
    </w:pPr>
    <w:rPr>
      <w:rFonts w:ascii="Arial" w:hAnsi="Arial"/>
      <w:kern w:val="16"/>
      <w:sz w:val="24"/>
      <w:lang w:eastAsia="en-US"/>
    </w:rPr>
  </w:style>
  <w:style w:type="paragraph" w:customStyle="1" w:styleId="BulletIndented">
    <w:name w:val="Bullet Indented"/>
    <w:basedOn w:val="Normal"/>
    <w:rsid w:val="0066791F"/>
    <w:pPr>
      <w:numPr>
        <w:numId w:val="4"/>
      </w:numPr>
      <w:tabs>
        <w:tab w:val="left" w:pos="567"/>
        <w:tab w:val="left" w:pos="851"/>
        <w:tab w:val="left" w:pos="3402"/>
        <w:tab w:val="right" w:pos="9072"/>
      </w:tabs>
      <w:spacing w:after="240" w:line="288" w:lineRule="auto"/>
      <w:jc w:val="both"/>
    </w:pPr>
    <w:rPr>
      <w:rFonts w:ascii="Arial" w:hAnsi="Arial"/>
      <w:kern w:val="16"/>
      <w:sz w:val="24"/>
      <w:lang w:eastAsia="en-US"/>
    </w:rPr>
  </w:style>
  <w:style w:type="character" w:customStyle="1" w:styleId="BomTextIndCharChar">
    <w:name w:val="BomText Ind Char Char"/>
    <w:link w:val="BomTextInd"/>
    <w:rsid w:val="0066791F"/>
    <w:rPr>
      <w:rFonts w:ascii="Arial" w:hAnsi="Arial"/>
      <w:kern w:val="16"/>
      <w:sz w:val="24"/>
      <w:lang w:eastAsia="en-US"/>
    </w:rPr>
  </w:style>
  <w:style w:type="paragraph" w:customStyle="1" w:styleId="FSAGuidanceHeading2">
    <w:name w:val="FSA Guidance Heading 2"/>
    <w:basedOn w:val="Heading1"/>
    <w:qFormat/>
    <w:rsid w:val="0066791F"/>
    <w:pPr>
      <w:spacing w:after="160" w:line="288" w:lineRule="auto"/>
      <w:ind w:left="0"/>
    </w:pPr>
    <w:rPr>
      <w:rFonts w:ascii="Arial Black" w:hAnsi="Arial Black"/>
      <w:kern w:val="16"/>
      <w:szCs w:val="28"/>
      <w:lang w:eastAsia="en-US"/>
    </w:rPr>
  </w:style>
  <w:style w:type="paragraph" w:styleId="Title">
    <w:name w:val="Title"/>
    <w:basedOn w:val="TableText"/>
    <w:next w:val="Normal"/>
    <w:link w:val="TitleChar"/>
    <w:qFormat/>
    <w:rsid w:val="00BD22B9"/>
    <w:rPr>
      <w:rFonts w:cs="Arial"/>
      <w:b/>
      <w:sz w:val="44"/>
      <w:szCs w:val="44"/>
    </w:rPr>
  </w:style>
  <w:style w:type="character" w:customStyle="1" w:styleId="TitleChar">
    <w:name w:val="Title Char"/>
    <w:link w:val="Title"/>
    <w:rsid w:val="00BD22B9"/>
    <w:rPr>
      <w:rFonts w:ascii="Arial" w:hAnsi="Arial" w:cs="Arial"/>
      <w:b/>
      <w:kern w:val="16"/>
      <w:sz w:val="44"/>
      <w:szCs w:val="44"/>
      <w:lang w:eastAsia="en-US"/>
    </w:rPr>
  </w:style>
  <w:style w:type="paragraph" w:customStyle="1" w:styleId="Bulletindent">
    <w:name w:val="Bullet indent"/>
    <w:basedOn w:val="BodyTextIndent"/>
    <w:link w:val="BulletindentChar"/>
    <w:rsid w:val="001C059C"/>
    <w:pPr>
      <w:numPr>
        <w:numId w:val="6"/>
      </w:numPr>
      <w:spacing w:after="240" w:line="264" w:lineRule="auto"/>
    </w:pPr>
    <w:rPr>
      <w:snapToGrid w:val="0"/>
      <w:sz w:val="20"/>
      <w:u w:val="none"/>
    </w:rPr>
  </w:style>
  <w:style w:type="paragraph" w:customStyle="1" w:styleId="FSAGuidancebullet">
    <w:name w:val="FSA Guidance bullet"/>
    <w:basedOn w:val="Bulletindent"/>
    <w:link w:val="FSAGuiidancebulletChar"/>
    <w:qFormat/>
    <w:rsid w:val="001C059C"/>
    <w:rPr>
      <w:sz w:val="24"/>
      <w:szCs w:val="24"/>
    </w:rPr>
  </w:style>
  <w:style w:type="character" w:customStyle="1" w:styleId="BulletindentChar">
    <w:name w:val="Bullet indent Char"/>
    <w:link w:val="Bulletindent"/>
    <w:rsid w:val="001C059C"/>
    <w:rPr>
      <w:rFonts w:ascii="Arial" w:hAnsi="Arial"/>
      <w:snapToGrid w:val="0"/>
      <w:lang w:eastAsia="en-US"/>
    </w:rPr>
  </w:style>
  <w:style w:type="character" w:customStyle="1" w:styleId="FSAGuiidancebulletChar">
    <w:name w:val="FSA Guiidance bullet Char"/>
    <w:link w:val="FSAGuidancebullet"/>
    <w:rsid w:val="001C059C"/>
    <w:rPr>
      <w:rFonts w:ascii="Arial" w:hAnsi="Arial"/>
      <w:snapToGrid w:val="0"/>
      <w:sz w:val="24"/>
      <w:szCs w:val="24"/>
      <w:lang w:eastAsia="en-US"/>
    </w:rPr>
  </w:style>
  <w:style w:type="paragraph" w:styleId="ListParagraph">
    <w:name w:val="List Paragraph"/>
    <w:basedOn w:val="Normal"/>
    <w:link w:val="ListParagraphChar"/>
    <w:uiPriority w:val="34"/>
    <w:qFormat/>
    <w:rsid w:val="001C059C"/>
    <w:pPr>
      <w:tabs>
        <w:tab w:val="left" w:pos="851"/>
        <w:tab w:val="left" w:pos="1701"/>
        <w:tab w:val="left" w:pos="2552"/>
        <w:tab w:val="left" w:pos="3402"/>
        <w:tab w:val="right" w:pos="9072"/>
      </w:tabs>
      <w:spacing w:after="240" w:line="288" w:lineRule="auto"/>
      <w:ind w:left="720"/>
      <w:contextualSpacing/>
      <w:jc w:val="both"/>
    </w:pPr>
    <w:rPr>
      <w:rFonts w:ascii="Arial" w:hAnsi="Arial"/>
      <w:kern w:val="16"/>
      <w:sz w:val="24"/>
      <w:lang w:eastAsia="en-US"/>
    </w:rPr>
  </w:style>
  <w:style w:type="paragraph" w:customStyle="1" w:styleId="CM3">
    <w:name w:val="CM3"/>
    <w:basedOn w:val="Default"/>
    <w:next w:val="Default"/>
    <w:uiPriority w:val="99"/>
    <w:rsid w:val="001C059C"/>
    <w:pPr>
      <w:spacing w:line="278" w:lineRule="atLeast"/>
    </w:pPr>
    <w:rPr>
      <w:color w:val="auto"/>
    </w:rPr>
  </w:style>
  <w:style w:type="paragraph" w:styleId="FootnoteText">
    <w:name w:val="footnote text"/>
    <w:basedOn w:val="Normal"/>
    <w:link w:val="FootnoteTextChar"/>
    <w:uiPriority w:val="99"/>
    <w:unhideWhenUsed/>
    <w:rsid w:val="008572B0"/>
  </w:style>
  <w:style w:type="character" w:customStyle="1" w:styleId="FootnoteTextChar">
    <w:name w:val="Footnote Text Char"/>
    <w:basedOn w:val="DefaultParagraphFont"/>
    <w:link w:val="FootnoteText"/>
    <w:uiPriority w:val="99"/>
    <w:rsid w:val="008572B0"/>
  </w:style>
  <w:style w:type="character" w:styleId="FootnoteReference">
    <w:name w:val="footnote reference"/>
    <w:uiPriority w:val="99"/>
    <w:semiHidden/>
    <w:unhideWhenUsed/>
    <w:rsid w:val="008572B0"/>
    <w:rPr>
      <w:vertAlign w:val="superscript"/>
    </w:rPr>
  </w:style>
  <w:style w:type="paragraph" w:styleId="PlainText">
    <w:name w:val="Plain Text"/>
    <w:basedOn w:val="Normal"/>
    <w:link w:val="PlainTextChar"/>
    <w:uiPriority w:val="99"/>
    <w:unhideWhenUsed/>
    <w:rsid w:val="008E2D66"/>
    <w:rPr>
      <w:rFonts w:ascii="Arial" w:eastAsia="Calibri" w:hAnsi="Arial"/>
      <w:sz w:val="24"/>
      <w:szCs w:val="21"/>
      <w:lang w:eastAsia="en-US"/>
    </w:rPr>
  </w:style>
  <w:style w:type="character" w:customStyle="1" w:styleId="PlainTextChar">
    <w:name w:val="Plain Text Char"/>
    <w:link w:val="PlainText"/>
    <w:uiPriority w:val="99"/>
    <w:rsid w:val="008E2D66"/>
    <w:rPr>
      <w:rFonts w:ascii="Arial" w:eastAsia="Calibri" w:hAnsi="Arial"/>
      <w:sz w:val="24"/>
      <w:szCs w:val="21"/>
      <w:lang w:eastAsia="en-US"/>
    </w:rPr>
  </w:style>
  <w:style w:type="paragraph" w:styleId="TOCHeading">
    <w:name w:val="TOC Heading"/>
    <w:basedOn w:val="Heading1"/>
    <w:next w:val="Normal"/>
    <w:uiPriority w:val="39"/>
    <w:semiHidden/>
    <w:unhideWhenUsed/>
    <w:qFormat/>
    <w:rsid w:val="000E6D48"/>
    <w:pPr>
      <w:keepLines/>
      <w:spacing w:before="480" w:line="276" w:lineRule="auto"/>
      <w:ind w:left="0"/>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0E6D48"/>
  </w:style>
  <w:style w:type="paragraph" w:styleId="TOC3">
    <w:name w:val="toc 3"/>
    <w:basedOn w:val="Normal"/>
    <w:next w:val="Normal"/>
    <w:autoRedefine/>
    <w:uiPriority w:val="39"/>
    <w:unhideWhenUsed/>
    <w:rsid w:val="000E6D48"/>
    <w:pPr>
      <w:ind w:left="400"/>
    </w:pPr>
  </w:style>
  <w:style w:type="character" w:styleId="Strong">
    <w:name w:val="Strong"/>
    <w:uiPriority w:val="22"/>
    <w:qFormat/>
    <w:rsid w:val="00314C84"/>
    <w:rPr>
      <w:b/>
      <w:bCs/>
    </w:rPr>
  </w:style>
  <w:style w:type="paragraph" w:customStyle="1" w:styleId="CM1">
    <w:name w:val="CM1"/>
    <w:basedOn w:val="Default"/>
    <w:next w:val="Default"/>
    <w:uiPriority w:val="99"/>
    <w:rsid w:val="00175EFA"/>
    <w:pPr>
      <w:widowControl/>
    </w:pPr>
    <w:rPr>
      <w:rFonts w:ascii="Times New Roman" w:hAnsi="Times New Roman" w:cs="Times New Roman"/>
      <w:color w:val="auto"/>
    </w:rPr>
  </w:style>
  <w:style w:type="paragraph" w:customStyle="1" w:styleId="CM4">
    <w:name w:val="CM4"/>
    <w:basedOn w:val="Default"/>
    <w:next w:val="Default"/>
    <w:uiPriority w:val="99"/>
    <w:rsid w:val="00175EFA"/>
    <w:pPr>
      <w:widowControl/>
    </w:pPr>
    <w:rPr>
      <w:rFonts w:ascii="Times New Roman" w:hAnsi="Times New Roman" w:cs="Times New Roman"/>
      <w:color w:val="auto"/>
    </w:rPr>
  </w:style>
  <w:style w:type="paragraph" w:customStyle="1" w:styleId="Bulletted">
    <w:name w:val="Bulletted"/>
    <w:basedOn w:val="Normal"/>
    <w:next w:val="Normal"/>
    <w:rsid w:val="004A3F0B"/>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sz w:val="24"/>
      <w:lang w:eastAsia="en-US"/>
    </w:rPr>
  </w:style>
  <w:style w:type="character" w:customStyle="1" w:styleId="ListParagraphChar">
    <w:name w:val="List Paragraph Char"/>
    <w:link w:val="ListParagraph"/>
    <w:uiPriority w:val="34"/>
    <w:locked/>
    <w:rsid w:val="004A3F0B"/>
    <w:rPr>
      <w:rFonts w:ascii="Arial" w:hAnsi="Arial"/>
      <w:kern w:val="16"/>
      <w:sz w:val="24"/>
      <w:lang w:eastAsia="en-US"/>
    </w:rPr>
  </w:style>
  <w:style w:type="paragraph" w:styleId="Subtitle">
    <w:name w:val="Subtitle"/>
    <w:basedOn w:val="Normal"/>
    <w:next w:val="Normal"/>
    <w:link w:val="SubtitleChar"/>
    <w:uiPriority w:val="11"/>
    <w:qFormat/>
    <w:rsid w:val="00E72AB8"/>
    <w:pPr>
      <w:spacing w:after="60"/>
      <w:jc w:val="center"/>
      <w:outlineLvl w:val="1"/>
    </w:pPr>
    <w:rPr>
      <w:rFonts w:ascii="Cambria" w:hAnsi="Cambria"/>
      <w:sz w:val="24"/>
      <w:szCs w:val="24"/>
    </w:rPr>
  </w:style>
  <w:style w:type="character" w:customStyle="1" w:styleId="SubtitleChar">
    <w:name w:val="Subtitle Char"/>
    <w:link w:val="Subtitle"/>
    <w:uiPriority w:val="11"/>
    <w:rsid w:val="00E72AB8"/>
    <w:rPr>
      <w:rFonts w:ascii="Cambria" w:eastAsia="Times New Roman" w:hAnsi="Cambria" w:cs="Times New Roman"/>
      <w:sz w:val="24"/>
      <w:szCs w:val="24"/>
    </w:rPr>
  </w:style>
  <w:style w:type="table" w:customStyle="1" w:styleId="TableGrid1">
    <w:name w:val="Table Grid1"/>
    <w:basedOn w:val="TableNormal"/>
    <w:next w:val="TableGrid"/>
    <w:uiPriority w:val="59"/>
    <w:rsid w:val="00175F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175FBF"/>
    <w:pPr>
      <w:ind w:left="200"/>
    </w:pPr>
  </w:style>
  <w:style w:type="paragraph" w:styleId="Revision">
    <w:name w:val="Revision"/>
    <w:hidden/>
    <w:uiPriority w:val="99"/>
    <w:semiHidden/>
    <w:rsid w:val="0065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394">
      <w:bodyDiv w:val="1"/>
      <w:marLeft w:val="0"/>
      <w:marRight w:val="0"/>
      <w:marTop w:val="0"/>
      <w:marBottom w:val="0"/>
      <w:divBdr>
        <w:top w:val="none" w:sz="0" w:space="0" w:color="auto"/>
        <w:left w:val="none" w:sz="0" w:space="0" w:color="auto"/>
        <w:bottom w:val="none" w:sz="0" w:space="0" w:color="auto"/>
        <w:right w:val="none" w:sz="0" w:space="0" w:color="auto"/>
      </w:divBdr>
      <w:divsChild>
        <w:div w:id="1531798715">
          <w:marLeft w:val="0"/>
          <w:marRight w:val="0"/>
          <w:marTop w:val="0"/>
          <w:marBottom w:val="0"/>
          <w:divBdr>
            <w:top w:val="none" w:sz="0" w:space="0" w:color="auto"/>
            <w:left w:val="none" w:sz="0" w:space="0" w:color="auto"/>
            <w:bottom w:val="none" w:sz="0" w:space="0" w:color="auto"/>
            <w:right w:val="none" w:sz="0" w:space="0" w:color="auto"/>
          </w:divBdr>
          <w:divsChild>
            <w:div w:id="413207612">
              <w:marLeft w:val="0"/>
              <w:marRight w:val="0"/>
              <w:marTop w:val="0"/>
              <w:marBottom w:val="0"/>
              <w:divBdr>
                <w:top w:val="none" w:sz="0" w:space="0" w:color="auto"/>
                <w:left w:val="none" w:sz="0" w:space="0" w:color="auto"/>
                <w:bottom w:val="none" w:sz="0" w:space="0" w:color="auto"/>
                <w:right w:val="none" w:sz="0" w:space="0" w:color="auto"/>
              </w:divBdr>
              <w:divsChild>
                <w:div w:id="1801416212">
                  <w:marLeft w:val="0"/>
                  <w:marRight w:val="0"/>
                  <w:marTop w:val="0"/>
                  <w:marBottom w:val="720"/>
                  <w:divBdr>
                    <w:top w:val="none" w:sz="0" w:space="0" w:color="auto"/>
                    <w:left w:val="none" w:sz="0" w:space="0" w:color="auto"/>
                    <w:bottom w:val="none" w:sz="0" w:space="0" w:color="auto"/>
                    <w:right w:val="none" w:sz="0" w:space="0" w:color="auto"/>
                  </w:divBdr>
                  <w:divsChild>
                    <w:div w:id="1262832835">
                      <w:marLeft w:val="0"/>
                      <w:marRight w:val="0"/>
                      <w:marTop w:val="0"/>
                      <w:marBottom w:val="0"/>
                      <w:divBdr>
                        <w:top w:val="none" w:sz="0" w:space="0" w:color="auto"/>
                        <w:left w:val="none" w:sz="0" w:space="0" w:color="auto"/>
                        <w:bottom w:val="none" w:sz="0" w:space="0" w:color="auto"/>
                        <w:right w:val="none" w:sz="0" w:space="0" w:color="auto"/>
                      </w:divBdr>
                      <w:divsChild>
                        <w:div w:id="1620720809">
                          <w:marLeft w:val="0"/>
                          <w:marRight w:val="0"/>
                          <w:marTop w:val="0"/>
                          <w:marBottom w:val="0"/>
                          <w:divBdr>
                            <w:top w:val="none" w:sz="0" w:space="0" w:color="auto"/>
                            <w:left w:val="none" w:sz="0" w:space="0" w:color="auto"/>
                            <w:bottom w:val="none" w:sz="0" w:space="0" w:color="auto"/>
                            <w:right w:val="none" w:sz="0" w:space="0" w:color="auto"/>
                          </w:divBdr>
                          <w:divsChild>
                            <w:div w:id="893080214">
                              <w:marLeft w:val="0"/>
                              <w:marRight w:val="0"/>
                              <w:marTop w:val="0"/>
                              <w:marBottom w:val="0"/>
                              <w:divBdr>
                                <w:top w:val="none" w:sz="0" w:space="0" w:color="auto"/>
                                <w:left w:val="none" w:sz="0" w:space="0" w:color="auto"/>
                                <w:bottom w:val="none" w:sz="0" w:space="0" w:color="auto"/>
                                <w:right w:val="none" w:sz="0" w:space="0" w:color="auto"/>
                              </w:divBdr>
                              <w:divsChild>
                                <w:div w:id="730036357">
                                  <w:marLeft w:val="0"/>
                                  <w:marRight w:val="0"/>
                                  <w:marTop w:val="0"/>
                                  <w:marBottom w:val="0"/>
                                  <w:divBdr>
                                    <w:top w:val="none" w:sz="0" w:space="0" w:color="auto"/>
                                    <w:left w:val="none" w:sz="0" w:space="0" w:color="auto"/>
                                    <w:bottom w:val="none" w:sz="0" w:space="0" w:color="auto"/>
                                    <w:right w:val="none" w:sz="0" w:space="0" w:color="auto"/>
                                  </w:divBdr>
                                  <w:divsChild>
                                    <w:div w:id="871914981">
                                      <w:marLeft w:val="0"/>
                                      <w:marRight w:val="0"/>
                                      <w:marTop w:val="0"/>
                                      <w:marBottom w:val="0"/>
                                      <w:divBdr>
                                        <w:top w:val="none" w:sz="0" w:space="0" w:color="auto"/>
                                        <w:left w:val="none" w:sz="0" w:space="0" w:color="auto"/>
                                        <w:bottom w:val="none" w:sz="0" w:space="0" w:color="auto"/>
                                        <w:right w:val="none" w:sz="0" w:space="0" w:color="auto"/>
                                      </w:divBdr>
                                      <w:divsChild>
                                        <w:div w:id="1891379151">
                                          <w:marLeft w:val="0"/>
                                          <w:marRight w:val="0"/>
                                          <w:marTop w:val="0"/>
                                          <w:marBottom w:val="0"/>
                                          <w:divBdr>
                                            <w:top w:val="none" w:sz="0" w:space="0" w:color="auto"/>
                                            <w:left w:val="none" w:sz="0" w:space="0" w:color="auto"/>
                                            <w:bottom w:val="none" w:sz="0" w:space="0" w:color="auto"/>
                                            <w:right w:val="none" w:sz="0" w:space="0" w:color="auto"/>
                                          </w:divBdr>
                                          <w:divsChild>
                                            <w:div w:id="961228626">
                                              <w:marLeft w:val="0"/>
                                              <w:marRight w:val="0"/>
                                              <w:marTop w:val="0"/>
                                              <w:marBottom w:val="0"/>
                                              <w:divBdr>
                                                <w:top w:val="none" w:sz="0" w:space="0" w:color="auto"/>
                                                <w:left w:val="none" w:sz="0" w:space="0" w:color="auto"/>
                                                <w:bottom w:val="none" w:sz="0" w:space="0" w:color="auto"/>
                                                <w:right w:val="none" w:sz="0" w:space="0" w:color="auto"/>
                                              </w:divBdr>
                                              <w:divsChild>
                                                <w:div w:id="1646738247">
                                                  <w:marLeft w:val="0"/>
                                                  <w:marRight w:val="0"/>
                                                  <w:marTop w:val="0"/>
                                                  <w:marBottom w:val="0"/>
                                                  <w:divBdr>
                                                    <w:top w:val="none" w:sz="0" w:space="0" w:color="auto"/>
                                                    <w:left w:val="none" w:sz="0" w:space="0" w:color="auto"/>
                                                    <w:bottom w:val="none" w:sz="0" w:space="0" w:color="auto"/>
                                                    <w:right w:val="none" w:sz="0" w:space="0" w:color="auto"/>
                                                  </w:divBdr>
                                                  <w:divsChild>
                                                    <w:div w:id="1523740352">
                                                      <w:marLeft w:val="0"/>
                                                      <w:marRight w:val="0"/>
                                                      <w:marTop w:val="0"/>
                                                      <w:marBottom w:val="0"/>
                                                      <w:divBdr>
                                                        <w:top w:val="none" w:sz="0" w:space="0" w:color="auto"/>
                                                        <w:left w:val="none" w:sz="0" w:space="0" w:color="auto"/>
                                                        <w:bottom w:val="none" w:sz="0" w:space="0" w:color="auto"/>
                                                        <w:right w:val="none" w:sz="0" w:space="0" w:color="auto"/>
                                                      </w:divBdr>
                                                      <w:divsChild>
                                                        <w:div w:id="1025911560">
                                                          <w:marLeft w:val="0"/>
                                                          <w:marRight w:val="0"/>
                                                          <w:marTop w:val="0"/>
                                                          <w:marBottom w:val="0"/>
                                                          <w:divBdr>
                                                            <w:top w:val="none" w:sz="0" w:space="0" w:color="auto"/>
                                                            <w:left w:val="none" w:sz="0" w:space="0" w:color="auto"/>
                                                            <w:bottom w:val="none" w:sz="0" w:space="0" w:color="auto"/>
                                                            <w:right w:val="none" w:sz="0" w:space="0" w:color="auto"/>
                                                          </w:divBdr>
                                                          <w:divsChild>
                                                            <w:div w:id="10073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269188">
      <w:bodyDiv w:val="1"/>
      <w:marLeft w:val="0"/>
      <w:marRight w:val="0"/>
      <w:marTop w:val="0"/>
      <w:marBottom w:val="0"/>
      <w:divBdr>
        <w:top w:val="none" w:sz="0" w:space="0" w:color="auto"/>
        <w:left w:val="none" w:sz="0" w:space="0" w:color="auto"/>
        <w:bottom w:val="none" w:sz="0" w:space="0" w:color="auto"/>
        <w:right w:val="none" w:sz="0" w:space="0" w:color="auto"/>
      </w:divBdr>
    </w:div>
    <w:div w:id="862474260">
      <w:bodyDiv w:val="1"/>
      <w:marLeft w:val="0"/>
      <w:marRight w:val="0"/>
      <w:marTop w:val="0"/>
      <w:marBottom w:val="0"/>
      <w:divBdr>
        <w:top w:val="none" w:sz="0" w:space="0" w:color="auto"/>
        <w:left w:val="none" w:sz="0" w:space="0" w:color="auto"/>
        <w:bottom w:val="none" w:sz="0" w:space="0" w:color="auto"/>
        <w:right w:val="none" w:sz="0" w:space="0" w:color="auto"/>
      </w:divBdr>
      <w:divsChild>
        <w:div w:id="572664496">
          <w:marLeft w:val="0"/>
          <w:marRight w:val="0"/>
          <w:marTop w:val="0"/>
          <w:marBottom w:val="0"/>
          <w:divBdr>
            <w:top w:val="none" w:sz="0" w:space="0" w:color="auto"/>
            <w:left w:val="none" w:sz="0" w:space="0" w:color="auto"/>
            <w:bottom w:val="none" w:sz="0" w:space="0" w:color="auto"/>
            <w:right w:val="none" w:sz="0" w:space="0" w:color="auto"/>
          </w:divBdr>
          <w:divsChild>
            <w:div w:id="20892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5179">
      <w:bodyDiv w:val="1"/>
      <w:marLeft w:val="0"/>
      <w:marRight w:val="0"/>
      <w:marTop w:val="0"/>
      <w:marBottom w:val="0"/>
      <w:divBdr>
        <w:top w:val="none" w:sz="0" w:space="0" w:color="auto"/>
        <w:left w:val="none" w:sz="0" w:space="0" w:color="auto"/>
        <w:bottom w:val="none" w:sz="0" w:space="0" w:color="auto"/>
        <w:right w:val="none" w:sz="0" w:space="0" w:color="auto"/>
      </w:divBdr>
      <w:divsChild>
        <w:div w:id="62145769">
          <w:marLeft w:val="0"/>
          <w:marRight w:val="0"/>
          <w:marTop w:val="0"/>
          <w:marBottom w:val="0"/>
          <w:divBdr>
            <w:top w:val="none" w:sz="0" w:space="0" w:color="auto"/>
            <w:left w:val="none" w:sz="0" w:space="0" w:color="auto"/>
            <w:bottom w:val="none" w:sz="0" w:space="0" w:color="auto"/>
            <w:right w:val="none" w:sz="0" w:space="0" w:color="auto"/>
          </w:divBdr>
          <w:divsChild>
            <w:div w:id="3193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eur-lex.europa.eu/legal-content/EN/TXT/HTML/?uri=CELEX:02004R0853-20160401&amp;qid=1462294525277&amp;from=EN" TargetMode="External"/><Relationship Id="rId26" Type="http://schemas.openxmlformats.org/officeDocument/2006/relationships/header" Target="header6.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foodstandards.gov.scot/food-safety-standards/advice-business-and-industry/shellfish/shellfish-results" TargetMode="External"/><Relationship Id="rId34" Type="http://schemas.openxmlformats.org/officeDocument/2006/relationships/hyperlink" Target="http://www.dirm-memn.developpement-durable.gouv.fr/peche-de-la-coquille-saint-jacques-a133.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foodstandards.gov.scot/shellfish-toxin-end-product-test" TargetMode="External"/><Relationship Id="rId25" Type="http://schemas.openxmlformats.org/officeDocument/2006/relationships/footer" Target="footer4.xml"/><Relationship Id="rId33" Type="http://schemas.openxmlformats.org/officeDocument/2006/relationships/hyperlink" Target="http://carto.geo-ide.application.developpement-durable.gouv.fr/950/Decisions_peche_memn.map" TargetMode="External"/><Relationship Id="rId38" Type="http://schemas.openxmlformats.org/officeDocument/2006/relationships/hyperlink" Target="http://www.seafoodacademy.org/LinkedDocuments/scallops/Scallop%20Coaching%20Pack%202nd%20Ed.pdf" TargetMode="External"/><Relationship Id="rId2" Type="http://schemas.openxmlformats.org/officeDocument/2006/relationships/customXml" Target="../customXml/item2.xml"/><Relationship Id="rId16" Type="http://schemas.openxmlformats.org/officeDocument/2006/relationships/hyperlink" Target="https://www.youtube.com/watch?v=PopQe9OozWU&amp;list=PLjmL1YNydu1GVKF1UTHyMxk3y9BAYVSnx&amp;index=2" TargetMode="External"/><Relationship Id="rId20" Type="http://schemas.openxmlformats.org/officeDocument/2006/relationships/hyperlink" Target="mailto:incidents@fss.scot" TargetMode="External"/><Relationship Id="rId29" Type="http://schemas.openxmlformats.org/officeDocument/2006/relationships/hyperlink" Target="https://www.cefas.co.uk/cefas-data-hub/food-safety/the-shellfish-partne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oleObject" Target="embeddings/Microsoft_Word_97_-_2003_Document1.doc"/><Relationship Id="rId37" Type="http://schemas.openxmlformats.org/officeDocument/2006/relationships/hyperlink" Target="http://www.youtube.com/watch?v=7jZrviH_z5E"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image" Target="media/image2.png"/><Relationship Id="rId36" Type="http://schemas.openxmlformats.org/officeDocument/2006/relationships/hyperlink" Target="https://www.food.gov.uk/business-industry/guidancenotes/hygguid/generalfoodlaw" TargetMode="External"/><Relationship Id="rId10" Type="http://schemas.openxmlformats.org/officeDocument/2006/relationships/header" Target="header1.xml"/><Relationship Id="rId19" Type="http://schemas.openxmlformats.org/officeDocument/2006/relationships/hyperlink" Target="http://www.foodstandards.gov.scot/food-law-code-practice-2015" TargetMode="External"/><Relationship Id="rId31" Type="http://schemas.openxmlformats.org/officeDocument/2006/relationships/image" Target="media/image3.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eur-lex.europa.eu/legal-content/EN/TXT/PDF/?uri=CELEX:02004R0882-20140630&amp;qid=1450085260827&amp;from=EN" TargetMode="External"/><Relationship Id="rId27" Type="http://schemas.openxmlformats.org/officeDocument/2006/relationships/image" Target="media/image1.png"/><Relationship Id="rId30" Type="http://schemas.openxmlformats.org/officeDocument/2006/relationships/hyperlink" Target="../../../../AppData/Local/Microsoft/Windows/Temporary%20Internet%20Files/Content.Outlook/RFK4HXSB/biotoxinmonitoring@cefas.co.uk" TargetMode="External"/><Relationship Id="rId35" Type="http://schemas.openxmlformats.org/officeDocument/2006/relationships/hyperlink" Target="http://www.foodstandards.gov.scot/food-law-code-practice-20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eafish.org/media/Publications/FactsheetParalyticShellfishPoisoning_201110.pdf" TargetMode="External"/><Relationship Id="rId3" Type="http://schemas.openxmlformats.org/officeDocument/2006/relationships/hyperlink" Target="http://ifgs.org.uk/" TargetMode="External"/><Relationship Id="rId7" Type="http://schemas.openxmlformats.org/officeDocument/2006/relationships/hyperlink" Target="http://www.fda.gov/downloads/Food/GuidanceRegulation/FederalStateFoodPrograms/UCM505093.pdf" TargetMode="External"/><Relationship Id="rId2" Type="http://schemas.openxmlformats.org/officeDocument/2006/relationships/hyperlink" Target="http://www.foodstandards.gov.scot/food-law-code-practice-2015" TargetMode="External"/><Relationship Id="rId1" Type="http://schemas.openxmlformats.org/officeDocument/2006/relationships/hyperlink" Target="http://eur-lex.europa.eu/legal-content/EN/TXT/HTML/?uri=CELEX:02004R0853-20160401&amp;qid=1462294525277&amp;from=EN" TargetMode="External"/><Relationship Id="rId6" Type="http://schemas.openxmlformats.org/officeDocument/2006/relationships/hyperlink" Target="http://www.inspection.gc.ca/food/fish-and-seafood/manuals/canadian-shellfish-sanitation-program/eng/1351609988326/1351610579883?chap=3" TargetMode="External"/><Relationship Id="rId5" Type="http://schemas.openxmlformats.org/officeDocument/2006/relationships/hyperlink" Target="https://www.legislation.gov.au/Details/F2012C00775" TargetMode="External"/><Relationship Id="rId4" Type="http://schemas.openxmlformats.org/officeDocument/2006/relationships/hyperlink" Target="https://www.cefas.co.uk/cefas-data-hub/food-safety/the-shellfish-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DFC1-849C-457C-B500-A908E05786C3}">
  <ds:schemaRefs>
    <ds:schemaRef ds:uri="http://schemas.openxmlformats.org/officeDocument/2006/bibliography"/>
  </ds:schemaRefs>
</ds:datastoreItem>
</file>

<file path=customXml/itemProps2.xml><?xml version="1.0" encoding="utf-8"?>
<ds:datastoreItem xmlns:ds="http://schemas.openxmlformats.org/officeDocument/2006/customXml" ds:itemID="{FBB4BF33-28E7-4D61-8AFC-AA110B5E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7222</Words>
  <Characters>42817</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OFFICIAL CONTROL SAMPLING OF WILD PECTINIDAE FOR BIOTOXINS</vt:lpstr>
    </vt:vector>
  </TitlesOfParts>
  <Company>Scottish Government</Company>
  <LinksUpToDate>false</LinksUpToDate>
  <CharactersWithSpaces>49940</CharactersWithSpaces>
  <SharedDoc>false</SharedDoc>
  <HLinks>
    <vt:vector size="294" baseType="variant">
      <vt:variant>
        <vt:i4>2293810</vt:i4>
      </vt:variant>
      <vt:variant>
        <vt:i4>216</vt:i4>
      </vt:variant>
      <vt:variant>
        <vt:i4>0</vt:i4>
      </vt:variant>
      <vt:variant>
        <vt:i4>5</vt:i4>
      </vt:variant>
      <vt:variant>
        <vt:lpwstr>http://www.seafoodacademy.org/LinkedDocuments/scallops/Scallop Coaching Pack 2nd Ed.pdf</vt:lpwstr>
      </vt:variant>
      <vt:variant>
        <vt:lpwstr/>
      </vt:variant>
      <vt:variant>
        <vt:i4>6815836</vt:i4>
      </vt:variant>
      <vt:variant>
        <vt:i4>213</vt:i4>
      </vt:variant>
      <vt:variant>
        <vt:i4>0</vt:i4>
      </vt:variant>
      <vt:variant>
        <vt:i4>5</vt:i4>
      </vt:variant>
      <vt:variant>
        <vt:lpwstr>http://www.youtube.com/watch?v=7jZrviH_z5E</vt:lpwstr>
      </vt:variant>
      <vt:variant>
        <vt:lpwstr/>
      </vt:variant>
      <vt:variant>
        <vt:i4>3473532</vt:i4>
      </vt:variant>
      <vt:variant>
        <vt:i4>207</vt:i4>
      </vt:variant>
      <vt:variant>
        <vt:i4>0</vt:i4>
      </vt:variant>
      <vt:variant>
        <vt:i4>5</vt:i4>
      </vt:variant>
      <vt:variant>
        <vt:lpwstr>https://www.food.gov.uk/business-industry/guidancenotes/hygguid/generalfoodlaw</vt:lpwstr>
      </vt:variant>
      <vt:variant>
        <vt:lpwstr/>
      </vt:variant>
      <vt:variant>
        <vt:i4>5439557</vt:i4>
      </vt:variant>
      <vt:variant>
        <vt:i4>204</vt:i4>
      </vt:variant>
      <vt:variant>
        <vt:i4>0</vt:i4>
      </vt:variant>
      <vt:variant>
        <vt:i4>5</vt:i4>
      </vt:variant>
      <vt:variant>
        <vt:lpwstr>http://www.foodstandards.gov.scot/food-law-code-practice-2015</vt:lpwstr>
      </vt:variant>
      <vt:variant>
        <vt:lpwstr/>
      </vt:variant>
      <vt:variant>
        <vt:i4>2555955</vt:i4>
      </vt:variant>
      <vt:variant>
        <vt:i4>201</vt:i4>
      </vt:variant>
      <vt:variant>
        <vt:i4>0</vt:i4>
      </vt:variant>
      <vt:variant>
        <vt:i4>5</vt:i4>
      </vt:variant>
      <vt:variant>
        <vt:lpwstr>http://www.dirm-memn.developpement-durable.gouv.fr/peche-de-la-coquille-saint-jacques-a133.html</vt:lpwstr>
      </vt:variant>
      <vt:variant>
        <vt:lpwstr/>
      </vt:variant>
      <vt:variant>
        <vt:i4>3276855</vt:i4>
      </vt:variant>
      <vt:variant>
        <vt:i4>198</vt:i4>
      </vt:variant>
      <vt:variant>
        <vt:i4>0</vt:i4>
      </vt:variant>
      <vt:variant>
        <vt:i4>5</vt:i4>
      </vt:variant>
      <vt:variant>
        <vt:lpwstr>http://carto.geo-ide.application.developpement-durable.gouv.fr/950/Decisions_peche_memn.map</vt:lpwstr>
      </vt:variant>
      <vt:variant>
        <vt:lpwstr/>
      </vt:variant>
      <vt:variant>
        <vt:i4>5570608</vt:i4>
      </vt:variant>
      <vt:variant>
        <vt:i4>192</vt:i4>
      </vt:variant>
      <vt:variant>
        <vt:i4>0</vt:i4>
      </vt:variant>
      <vt:variant>
        <vt:i4>5</vt:i4>
      </vt:variant>
      <vt:variant>
        <vt:lpwstr>../../../../AppData/Local/Microsoft/Windows/Temporary Internet Files/Content.Outlook/RFK4HXSB/biotoxinmonitoring@cefas.co.uk</vt:lpwstr>
      </vt:variant>
      <vt:variant>
        <vt:lpwstr/>
      </vt:variant>
      <vt:variant>
        <vt:i4>4259927</vt:i4>
      </vt:variant>
      <vt:variant>
        <vt:i4>189</vt:i4>
      </vt:variant>
      <vt:variant>
        <vt:i4>0</vt:i4>
      </vt:variant>
      <vt:variant>
        <vt:i4>5</vt:i4>
      </vt:variant>
      <vt:variant>
        <vt:lpwstr>https://www.cefas.co.uk/cefas-data-hub/food-safety/the-shellfish-partnership/</vt:lpwstr>
      </vt:variant>
      <vt:variant>
        <vt:lpwstr/>
      </vt:variant>
      <vt:variant>
        <vt:i4>3538994</vt:i4>
      </vt:variant>
      <vt:variant>
        <vt:i4>180</vt:i4>
      </vt:variant>
      <vt:variant>
        <vt:i4>0</vt:i4>
      </vt:variant>
      <vt:variant>
        <vt:i4>5</vt:i4>
      </vt:variant>
      <vt:variant>
        <vt:lpwstr>http://eur-lex.europa.eu/legal-content/EN/TXT/PDF/?uri=CELEX:02004R0882-20140630&amp;qid=1450085260827&amp;from=EN</vt:lpwstr>
      </vt:variant>
      <vt:variant>
        <vt:lpwstr/>
      </vt:variant>
      <vt:variant>
        <vt:i4>131073</vt:i4>
      </vt:variant>
      <vt:variant>
        <vt:i4>177</vt:i4>
      </vt:variant>
      <vt:variant>
        <vt:i4>0</vt:i4>
      </vt:variant>
      <vt:variant>
        <vt:i4>5</vt:i4>
      </vt:variant>
      <vt:variant>
        <vt:lpwstr>http://www.foodstandards.gov.scot/food-safety-standards/advice-business-and-industry/shellfish/shellfish-results</vt:lpwstr>
      </vt:variant>
      <vt:variant>
        <vt:lpwstr/>
      </vt:variant>
      <vt:variant>
        <vt:i4>5439557</vt:i4>
      </vt:variant>
      <vt:variant>
        <vt:i4>174</vt:i4>
      </vt:variant>
      <vt:variant>
        <vt:i4>0</vt:i4>
      </vt:variant>
      <vt:variant>
        <vt:i4>5</vt:i4>
      </vt:variant>
      <vt:variant>
        <vt:lpwstr>http://www.foodstandards.gov.scot/food-law-code-practice-2015</vt:lpwstr>
      </vt:variant>
      <vt:variant>
        <vt:lpwstr/>
      </vt:variant>
      <vt:variant>
        <vt:i4>8257663</vt:i4>
      </vt:variant>
      <vt:variant>
        <vt:i4>171</vt:i4>
      </vt:variant>
      <vt:variant>
        <vt:i4>0</vt:i4>
      </vt:variant>
      <vt:variant>
        <vt:i4>5</vt:i4>
      </vt:variant>
      <vt:variant>
        <vt:lpwstr>http://eur-lex.europa.eu/legal-content/EN/TXT/HTML/?uri=CELEX:02004R0853-20160401&amp;qid=1462294525277&amp;from=EN</vt:lpwstr>
      </vt:variant>
      <vt:variant>
        <vt:lpwstr/>
      </vt:variant>
      <vt:variant>
        <vt:i4>6946877</vt:i4>
      </vt:variant>
      <vt:variant>
        <vt:i4>168</vt:i4>
      </vt:variant>
      <vt:variant>
        <vt:i4>0</vt:i4>
      </vt:variant>
      <vt:variant>
        <vt:i4>5</vt:i4>
      </vt:variant>
      <vt:variant>
        <vt:lpwstr>http://www.foodstandards.gov.scot/shellfish-toxin-end-product-test</vt:lpwstr>
      </vt:variant>
      <vt:variant>
        <vt:lpwstr/>
      </vt:variant>
      <vt:variant>
        <vt:i4>7536756</vt:i4>
      </vt:variant>
      <vt:variant>
        <vt:i4>165</vt:i4>
      </vt:variant>
      <vt:variant>
        <vt:i4>0</vt:i4>
      </vt:variant>
      <vt:variant>
        <vt:i4>5</vt:i4>
      </vt:variant>
      <vt:variant>
        <vt:lpwstr>https://www.youtube.com/watch?v=PopQe9OozWU&amp;list=PLjmL1YNydu1GVKF1UTHyMxk3y9BAYVSnx&amp;index=2</vt:lpwstr>
      </vt:variant>
      <vt:variant>
        <vt:lpwstr/>
      </vt:variant>
      <vt:variant>
        <vt:i4>1179706</vt:i4>
      </vt:variant>
      <vt:variant>
        <vt:i4>158</vt:i4>
      </vt:variant>
      <vt:variant>
        <vt:i4>0</vt:i4>
      </vt:variant>
      <vt:variant>
        <vt:i4>5</vt:i4>
      </vt:variant>
      <vt:variant>
        <vt:lpwstr/>
      </vt:variant>
      <vt:variant>
        <vt:lpwstr>_Toc462655905</vt:lpwstr>
      </vt:variant>
      <vt:variant>
        <vt:i4>1179706</vt:i4>
      </vt:variant>
      <vt:variant>
        <vt:i4>152</vt:i4>
      </vt:variant>
      <vt:variant>
        <vt:i4>0</vt:i4>
      </vt:variant>
      <vt:variant>
        <vt:i4>5</vt:i4>
      </vt:variant>
      <vt:variant>
        <vt:lpwstr/>
      </vt:variant>
      <vt:variant>
        <vt:lpwstr>_Toc462655904</vt:lpwstr>
      </vt:variant>
      <vt:variant>
        <vt:i4>1179706</vt:i4>
      </vt:variant>
      <vt:variant>
        <vt:i4>146</vt:i4>
      </vt:variant>
      <vt:variant>
        <vt:i4>0</vt:i4>
      </vt:variant>
      <vt:variant>
        <vt:i4>5</vt:i4>
      </vt:variant>
      <vt:variant>
        <vt:lpwstr/>
      </vt:variant>
      <vt:variant>
        <vt:lpwstr>_Toc462655903</vt:lpwstr>
      </vt:variant>
      <vt:variant>
        <vt:i4>1179706</vt:i4>
      </vt:variant>
      <vt:variant>
        <vt:i4>140</vt:i4>
      </vt:variant>
      <vt:variant>
        <vt:i4>0</vt:i4>
      </vt:variant>
      <vt:variant>
        <vt:i4>5</vt:i4>
      </vt:variant>
      <vt:variant>
        <vt:lpwstr/>
      </vt:variant>
      <vt:variant>
        <vt:lpwstr>_Toc462655902</vt:lpwstr>
      </vt:variant>
      <vt:variant>
        <vt:i4>1179706</vt:i4>
      </vt:variant>
      <vt:variant>
        <vt:i4>134</vt:i4>
      </vt:variant>
      <vt:variant>
        <vt:i4>0</vt:i4>
      </vt:variant>
      <vt:variant>
        <vt:i4>5</vt:i4>
      </vt:variant>
      <vt:variant>
        <vt:lpwstr/>
      </vt:variant>
      <vt:variant>
        <vt:lpwstr>_Toc462655901</vt:lpwstr>
      </vt:variant>
      <vt:variant>
        <vt:i4>1179706</vt:i4>
      </vt:variant>
      <vt:variant>
        <vt:i4>128</vt:i4>
      </vt:variant>
      <vt:variant>
        <vt:i4>0</vt:i4>
      </vt:variant>
      <vt:variant>
        <vt:i4>5</vt:i4>
      </vt:variant>
      <vt:variant>
        <vt:lpwstr/>
      </vt:variant>
      <vt:variant>
        <vt:lpwstr>_Toc462655900</vt:lpwstr>
      </vt:variant>
      <vt:variant>
        <vt:i4>1769531</vt:i4>
      </vt:variant>
      <vt:variant>
        <vt:i4>122</vt:i4>
      </vt:variant>
      <vt:variant>
        <vt:i4>0</vt:i4>
      </vt:variant>
      <vt:variant>
        <vt:i4>5</vt:i4>
      </vt:variant>
      <vt:variant>
        <vt:lpwstr/>
      </vt:variant>
      <vt:variant>
        <vt:lpwstr>_Toc462655899</vt:lpwstr>
      </vt:variant>
      <vt:variant>
        <vt:i4>1769531</vt:i4>
      </vt:variant>
      <vt:variant>
        <vt:i4>116</vt:i4>
      </vt:variant>
      <vt:variant>
        <vt:i4>0</vt:i4>
      </vt:variant>
      <vt:variant>
        <vt:i4>5</vt:i4>
      </vt:variant>
      <vt:variant>
        <vt:lpwstr/>
      </vt:variant>
      <vt:variant>
        <vt:lpwstr>_Toc462655898</vt:lpwstr>
      </vt:variant>
      <vt:variant>
        <vt:i4>1769531</vt:i4>
      </vt:variant>
      <vt:variant>
        <vt:i4>110</vt:i4>
      </vt:variant>
      <vt:variant>
        <vt:i4>0</vt:i4>
      </vt:variant>
      <vt:variant>
        <vt:i4>5</vt:i4>
      </vt:variant>
      <vt:variant>
        <vt:lpwstr/>
      </vt:variant>
      <vt:variant>
        <vt:lpwstr>_Toc462655897</vt:lpwstr>
      </vt:variant>
      <vt:variant>
        <vt:i4>1769531</vt:i4>
      </vt:variant>
      <vt:variant>
        <vt:i4>104</vt:i4>
      </vt:variant>
      <vt:variant>
        <vt:i4>0</vt:i4>
      </vt:variant>
      <vt:variant>
        <vt:i4>5</vt:i4>
      </vt:variant>
      <vt:variant>
        <vt:lpwstr/>
      </vt:variant>
      <vt:variant>
        <vt:lpwstr>_Toc462655896</vt:lpwstr>
      </vt:variant>
      <vt:variant>
        <vt:i4>1769531</vt:i4>
      </vt:variant>
      <vt:variant>
        <vt:i4>98</vt:i4>
      </vt:variant>
      <vt:variant>
        <vt:i4>0</vt:i4>
      </vt:variant>
      <vt:variant>
        <vt:i4>5</vt:i4>
      </vt:variant>
      <vt:variant>
        <vt:lpwstr/>
      </vt:variant>
      <vt:variant>
        <vt:lpwstr>_Toc462655895</vt:lpwstr>
      </vt:variant>
      <vt:variant>
        <vt:i4>1769531</vt:i4>
      </vt:variant>
      <vt:variant>
        <vt:i4>92</vt:i4>
      </vt:variant>
      <vt:variant>
        <vt:i4>0</vt:i4>
      </vt:variant>
      <vt:variant>
        <vt:i4>5</vt:i4>
      </vt:variant>
      <vt:variant>
        <vt:lpwstr/>
      </vt:variant>
      <vt:variant>
        <vt:lpwstr>_Toc462655894</vt:lpwstr>
      </vt:variant>
      <vt:variant>
        <vt:i4>1769531</vt:i4>
      </vt:variant>
      <vt:variant>
        <vt:i4>86</vt:i4>
      </vt:variant>
      <vt:variant>
        <vt:i4>0</vt:i4>
      </vt:variant>
      <vt:variant>
        <vt:i4>5</vt:i4>
      </vt:variant>
      <vt:variant>
        <vt:lpwstr/>
      </vt:variant>
      <vt:variant>
        <vt:lpwstr>_Toc462655893</vt:lpwstr>
      </vt:variant>
      <vt:variant>
        <vt:i4>1769531</vt:i4>
      </vt:variant>
      <vt:variant>
        <vt:i4>80</vt:i4>
      </vt:variant>
      <vt:variant>
        <vt:i4>0</vt:i4>
      </vt:variant>
      <vt:variant>
        <vt:i4>5</vt:i4>
      </vt:variant>
      <vt:variant>
        <vt:lpwstr/>
      </vt:variant>
      <vt:variant>
        <vt:lpwstr>_Toc462655892</vt:lpwstr>
      </vt:variant>
      <vt:variant>
        <vt:i4>1769531</vt:i4>
      </vt:variant>
      <vt:variant>
        <vt:i4>74</vt:i4>
      </vt:variant>
      <vt:variant>
        <vt:i4>0</vt:i4>
      </vt:variant>
      <vt:variant>
        <vt:i4>5</vt:i4>
      </vt:variant>
      <vt:variant>
        <vt:lpwstr/>
      </vt:variant>
      <vt:variant>
        <vt:lpwstr>_Toc462655891</vt:lpwstr>
      </vt:variant>
      <vt:variant>
        <vt:i4>1769531</vt:i4>
      </vt:variant>
      <vt:variant>
        <vt:i4>68</vt:i4>
      </vt:variant>
      <vt:variant>
        <vt:i4>0</vt:i4>
      </vt:variant>
      <vt:variant>
        <vt:i4>5</vt:i4>
      </vt:variant>
      <vt:variant>
        <vt:lpwstr/>
      </vt:variant>
      <vt:variant>
        <vt:lpwstr>_Toc462655890</vt:lpwstr>
      </vt:variant>
      <vt:variant>
        <vt:i4>1703995</vt:i4>
      </vt:variant>
      <vt:variant>
        <vt:i4>62</vt:i4>
      </vt:variant>
      <vt:variant>
        <vt:i4>0</vt:i4>
      </vt:variant>
      <vt:variant>
        <vt:i4>5</vt:i4>
      </vt:variant>
      <vt:variant>
        <vt:lpwstr/>
      </vt:variant>
      <vt:variant>
        <vt:lpwstr>_Toc462655889</vt:lpwstr>
      </vt:variant>
      <vt:variant>
        <vt:i4>1703995</vt:i4>
      </vt:variant>
      <vt:variant>
        <vt:i4>56</vt:i4>
      </vt:variant>
      <vt:variant>
        <vt:i4>0</vt:i4>
      </vt:variant>
      <vt:variant>
        <vt:i4>5</vt:i4>
      </vt:variant>
      <vt:variant>
        <vt:lpwstr/>
      </vt:variant>
      <vt:variant>
        <vt:lpwstr>_Toc462655888</vt:lpwstr>
      </vt:variant>
      <vt:variant>
        <vt:i4>1703995</vt:i4>
      </vt:variant>
      <vt:variant>
        <vt:i4>50</vt:i4>
      </vt:variant>
      <vt:variant>
        <vt:i4>0</vt:i4>
      </vt:variant>
      <vt:variant>
        <vt:i4>5</vt:i4>
      </vt:variant>
      <vt:variant>
        <vt:lpwstr/>
      </vt:variant>
      <vt:variant>
        <vt:lpwstr>_Toc462655887</vt:lpwstr>
      </vt:variant>
      <vt:variant>
        <vt:i4>1703995</vt:i4>
      </vt:variant>
      <vt:variant>
        <vt:i4>44</vt:i4>
      </vt:variant>
      <vt:variant>
        <vt:i4>0</vt:i4>
      </vt:variant>
      <vt:variant>
        <vt:i4>5</vt:i4>
      </vt:variant>
      <vt:variant>
        <vt:lpwstr/>
      </vt:variant>
      <vt:variant>
        <vt:lpwstr>_Toc462655886</vt:lpwstr>
      </vt:variant>
      <vt:variant>
        <vt:i4>1703995</vt:i4>
      </vt:variant>
      <vt:variant>
        <vt:i4>38</vt:i4>
      </vt:variant>
      <vt:variant>
        <vt:i4>0</vt:i4>
      </vt:variant>
      <vt:variant>
        <vt:i4>5</vt:i4>
      </vt:variant>
      <vt:variant>
        <vt:lpwstr/>
      </vt:variant>
      <vt:variant>
        <vt:lpwstr>_Toc462655885</vt:lpwstr>
      </vt:variant>
      <vt:variant>
        <vt:i4>1703995</vt:i4>
      </vt:variant>
      <vt:variant>
        <vt:i4>32</vt:i4>
      </vt:variant>
      <vt:variant>
        <vt:i4>0</vt:i4>
      </vt:variant>
      <vt:variant>
        <vt:i4>5</vt:i4>
      </vt:variant>
      <vt:variant>
        <vt:lpwstr/>
      </vt:variant>
      <vt:variant>
        <vt:lpwstr>_Toc462655884</vt:lpwstr>
      </vt:variant>
      <vt:variant>
        <vt:i4>1703995</vt:i4>
      </vt:variant>
      <vt:variant>
        <vt:i4>26</vt:i4>
      </vt:variant>
      <vt:variant>
        <vt:i4>0</vt:i4>
      </vt:variant>
      <vt:variant>
        <vt:i4>5</vt:i4>
      </vt:variant>
      <vt:variant>
        <vt:lpwstr/>
      </vt:variant>
      <vt:variant>
        <vt:lpwstr>_Toc462655883</vt:lpwstr>
      </vt:variant>
      <vt:variant>
        <vt:i4>1703995</vt:i4>
      </vt:variant>
      <vt:variant>
        <vt:i4>20</vt:i4>
      </vt:variant>
      <vt:variant>
        <vt:i4>0</vt:i4>
      </vt:variant>
      <vt:variant>
        <vt:i4>5</vt:i4>
      </vt:variant>
      <vt:variant>
        <vt:lpwstr/>
      </vt:variant>
      <vt:variant>
        <vt:lpwstr>_Toc462655882</vt:lpwstr>
      </vt:variant>
      <vt:variant>
        <vt:i4>1703995</vt:i4>
      </vt:variant>
      <vt:variant>
        <vt:i4>14</vt:i4>
      </vt:variant>
      <vt:variant>
        <vt:i4>0</vt:i4>
      </vt:variant>
      <vt:variant>
        <vt:i4>5</vt:i4>
      </vt:variant>
      <vt:variant>
        <vt:lpwstr/>
      </vt:variant>
      <vt:variant>
        <vt:lpwstr>_Toc462655881</vt:lpwstr>
      </vt:variant>
      <vt:variant>
        <vt:i4>1703995</vt:i4>
      </vt:variant>
      <vt:variant>
        <vt:i4>8</vt:i4>
      </vt:variant>
      <vt:variant>
        <vt:i4>0</vt:i4>
      </vt:variant>
      <vt:variant>
        <vt:i4>5</vt:i4>
      </vt:variant>
      <vt:variant>
        <vt:lpwstr/>
      </vt:variant>
      <vt:variant>
        <vt:lpwstr>_Toc462655880</vt:lpwstr>
      </vt:variant>
      <vt:variant>
        <vt:i4>1376315</vt:i4>
      </vt:variant>
      <vt:variant>
        <vt:i4>2</vt:i4>
      </vt:variant>
      <vt:variant>
        <vt:i4>0</vt:i4>
      </vt:variant>
      <vt:variant>
        <vt:i4>5</vt:i4>
      </vt:variant>
      <vt:variant>
        <vt:lpwstr/>
      </vt:variant>
      <vt:variant>
        <vt:lpwstr>_Toc462655879</vt:lpwstr>
      </vt:variant>
      <vt:variant>
        <vt:i4>1704044</vt:i4>
      </vt:variant>
      <vt:variant>
        <vt:i4>21</vt:i4>
      </vt:variant>
      <vt:variant>
        <vt:i4>0</vt:i4>
      </vt:variant>
      <vt:variant>
        <vt:i4>5</vt:i4>
      </vt:variant>
      <vt:variant>
        <vt:lpwstr>http://www.seafish.org/media/Publications/FactsheetParalyticShellfishPoisoning_201110.pdf</vt:lpwstr>
      </vt:variant>
      <vt:variant>
        <vt:lpwstr/>
      </vt:variant>
      <vt:variant>
        <vt:i4>3145844</vt:i4>
      </vt:variant>
      <vt:variant>
        <vt:i4>18</vt:i4>
      </vt:variant>
      <vt:variant>
        <vt:i4>0</vt:i4>
      </vt:variant>
      <vt:variant>
        <vt:i4>5</vt:i4>
      </vt:variant>
      <vt:variant>
        <vt:lpwstr>http://www.fda.gov/downloads/Food/GuidanceRegulation/FederalStateFoodPrograms/UCM505093.pdf</vt:lpwstr>
      </vt:variant>
      <vt:variant>
        <vt:lpwstr/>
      </vt:variant>
      <vt:variant>
        <vt:i4>3014762</vt:i4>
      </vt:variant>
      <vt:variant>
        <vt:i4>15</vt:i4>
      </vt:variant>
      <vt:variant>
        <vt:i4>0</vt:i4>
      </vt:variant>
      <vt:variant>
        <vt:i4>5</vt:i4>
      </vt:variant>
      <vt:variant>
        <vt:lpwstr>http://www.inspection.gc.ca/food/fish-and-seafood/manuals/canadian-shellfish-sanitation-program/eng/1351609988326/1351610579883?chap=3</vt:lpwstr>
      </vt:variant>
      <vt:variant>
        <vt:lpwstr/>
      </vt:variant>
      <vt:variant>
        <vt:i4>7667745</vt:i4>
      </vt:variant>
      <vt:variant>
        <vt:i4>12</vt:i4>
      </vt:variant>
      <vt:variant>
        <vt:i4>0</vt:i4>
      </vt:variant>
      <vt:variant>
        <vt:i4>5</vt:i4>
      </vt:variant>
      <vt:variant>
        <vt:lpwstr>https://www.legislation.gov.au/Details/F2012C00775</vt:lpwstr>
      </vt:variant>
      <vt:variant>
        <vt:lpwstr/>
      </vt:variant>
      <vt:variant>
        <vt:i4>4259927</vt:i4>
      </vt:variant>
      <vt:variant>
        <vt:i4>9</vt:i4>
      </vt:variant>
      <vt:variant>
        <vt:i4>0</vt:i4>
      </vt:variant>
      <vt:variant>
        <vt:i4>5</vt:i4>
      </vt:variant>
      <vt:variant>
        <vt:lpwstr>https://www.cefas.co.uk/cefas-data-hub/food-safety/the-shellfish-partnership/</vt:lpwstr>
      </vt:variant>
      <vt:variant>
        <vt:lpwstr/>
      </vt:variant>
      <vt:variant>
        <vt:i4>3932257</vt:i4>
      </vt:variant>
      <vt:variant>
        <vt:i4>6</vt:i4>
      </vt:variant>
      <vt:variant>
        <vt:i4>0</vt:i4>
      </vt:variant>
      <vt:variant>
        <vt:i4>5</vt:i4>
      </vt:variant>
      <vt:variant>
        <vt:lpwstr>http://ifgs.org.uk/</vt:lpwstr>
      </vt:variant>
      <vt:variant>
        <vt:lpwstr/>
      </vt:variant>
      <vt:variant>
        <vt:i4>5439557</vt:i4>
      </vt:variant>
      <vt:variant>
        <vt:i4>3</vt:i4>
      </vt:variant>
      <vt:variant>
        <vt:i4>0</vt:i4>
      </vt:variant>
      <vt:variant>
        <vt:i4>5</vt:i4>
      </vt:variant>
      <vt:variant>
        <vt:lpwstr>http://www.foodstandards.gov.scot/food-law-code-practice-2015</vt:lpwstr>
      </vt:variant>
      <vt:variant>
        <vt:lpwstr/>
      </vt:variant>
      <vt:variant>
        <vt:i4>8257663</vt:i4>
      </vt:variant>
      <vt:variant>
        <vt:i4>0</vt:i4>
      </vt:variant>
      <vt:variant>
        <vt:i4>0</vt:i4>
      </vt:variant>
      <vt:variant>
        <vt:i4>5</vt:i4>
      </vt:variant>
      <vt:variant>
        <vt:lpwstr>http://eur-lex.europa.eu/legal-content/EN/TXT/HTML/?uri=CELEX:02004R0853-20160401&amp;qid=1462294525277&amp;from=EN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CONTROL SAMPLING OF WILD PECTINIDAE FOR BIOTOXINS</dc:title>
  <dc:creator>fsa</dc:creator>
  <cp:lastModifiedBy>Josep</cp:lastModifiedBy>
  <cp:revision>4</cp:revision>
  <cp:lastPrinted>2006-07-19T11:12:00Z</cp:lastPrinted>
  <dcterms:created xsi:type="dcterms:W3CDTF">2017-02-16T14:00:00Z</dcterms:created>
  <dcterms:modified xsi:type="dcterms:W3CDTF">2017-02-16T14:14:00Z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A16611527</vt:lpwstr>
  </property>
  <property fmtid="{D5CDD505-2E9C-101B-9397-08002B2CF9AE}" pid="4" name="Objective-Title">
    <vt:lpwstr>Shellfish review consultation draft - OFFICIAL CONTROL SAMPLING OF WILD PECTINIDAE FOR BIOTOXINS - FEB 2017 v6</vt:lpwstr>
  </property>
  <property fmtid="{D5CDD505-2E9C-101B-9397-08002B2CF9AE}" pid="5" name="Objective-Comment">
    <vt:lpwstr>
    </vt:lpwstr>
  </property>
  <property fmtid="{D5CDD505-2E9C-101B-9397-08002B2CF9AE}" pid="6" name="Objective-CreationStamp">
    <vt:filetime>2017-01-31T08:39:11Z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2017-02-10T17:24:08Z</vt:filetime>
  </property>
  <property fmtid="{D5CDD505-2E9C-101B-9397-08002B2CF9AE}" pid="11" name="Objective-Owner">
    <vt:lpwstr>Campins, Josep J (U440833)</vt:lpwstr>
  </property>
  <property fmtid="{D5CDD505-2E9C-101B-9397-08002B2CF9AE}" pid="12" name="Objective-Path">
    <vt:lpwstr>Objective Global Folder:Food Standards Scotland File Plan:Health, Nutrition and Care:Food and Drink:Fish:Advice and Policy: Fish (Food Standards Scotland):Shellfish: Advice and Policy: 2015-2020:</vt:lpwstr>
  </property>
  <property fmtid="{D5CDD505-2E9C-101B-9397-08002B2CF9AE}" pid="13" name="Objective-Parent">
    <vt:lpwstr>Shellfish: Advice and Policy: 2015-2020</vt:lpwstr>
  </property>
  <property fmtid="{D5CDD505-2E9C-101B-9397-08002B2CF9AE}" pid="14" name="Objective-State">
    <vt:lpwstr>Being Drafted</vt:lpwstr>
  </property>
  <property fmtid="{D5CDD505-2E9C-101B-9397-08002B2CF9AE}" pid="15" name="Objective-Version">
    <vt:lpwstr>1.5</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