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906A4" w14:textId="77777777" w:rsidR="00027C27" w:rsidRDefault="000721BB" w:rsidP="00B561C0">
      <w:r>
        <w:rPr>
          <w:noProof/>
          <w:lang w:eastAsia="en-GB"/>
        </w:rPr>
        <w:drawing>
          <wp:inline distT="0" distB="0" distL="0" distR="0" wp14:anchorId="7B939FAA" wp14:editId="696142BA">
            <wp:extent cx="1425575" cy="1292225"/>
            <wp:effectExtent l="0" t="0" r="0" b="0"/>
            <wp:docPr id="2" name="Picture 2" descr="A picture containing text,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425575" cy="1292225"/>
                    </a:xfrm>
                    <a:prstGeom prst="rect">
                      <a:avLst/>
                    </a:prstGeom>
                  </pic:spPr>
                </pic:pic>
              </a:graphicData>
            </a:graphic>
          </wp:inline>
        </w:drawing>
      </w:r>
      <w:bookmarkStart w:id="0" w:name="_GoBack"/>
      <w:bookmarkEnd w:id="0"/>
    </w:p>
    <w:p w14:paraId="468083D1" w14:textId="77777777" w:rsidR="000721BB" w:rsidRDefault="000721BB" w:rsidP="00B561C0"/>
    <w:p w14:paraId="4B4DC948" w14:textId="77777777" w:rsidR="000721BB" w:rsidRDefault="000721BB" w:rsidP="00B561C0"/>
    <w:p w14:paraId="022FBFA1" w14:textId="585AAAF2" w:rsidR="007702D1" w:rsidRDefault="007702D1" w:rsidP="007702D1">
      <w:pPr>
        <w:rPr>
          <w:b/>
          <w:color w:val="5B9BD5" w:themeColor="accent1"/>
          <w:sz w:val="48"/>
          <w:szCs w:val="48"/>
        </w:rPr>
      </w:pPr>
      <w:r w:rsidRPr="007702D1">
        <w:rPr>
          <w:b/>
          <w:color w:val="5B9BD5" w:themeColor="accent1"/>
          <w:sz w:val="48"/>
          <w:szCs w:val="48"/>
        </w:rPr>
        <w:t xml:space="preserve">Consultation on revisions to the </w:t>
      </w:r>
      <w:r>
        <w:rPr>
          <w:b/>
          <w:color w:val="5B9BD5" w:themeColor="accent1"/>
          <w:sz w:val="48"/>
          <w:szCs w:val="48"/>
        </w:rPr>
        <w:t>Food Standards Scotland (</w:t>
      </w:r>
      <w:r w:rsidRPr="007702D1">
        <w:rPr>
          <w:b/>
          <w:color w:val="5B9BD5" w:themeColor="accent1"/>
          <w:sz w:val="48"/>
          <w:szCs w:val="48"/>
        </w:rPr>
        <w:t>FSS</w:t>
      </w:r>
      <w:r>
        <w:rPr>
          <w:b/>
          <w:color w:val="5B9BD5" w:themeColor="accent1"/>
          <w:sz w:val="48"/>
          <w:szCs w:val="48"/>
        </w:rPr>
        <w:t>)</w:t>
      </w:r>
      <w:r w:rsidRPr="007702D1">
        <w:rPr>
          <w:b/>
          <w:color w:val="5B9BD5" w:themeColor="accent1"/>
          <w:sz w:val="48"/>
          <w:szCs w:val="48"/>
        </w:rPr>
        <w:t xml:space="preserve"> opinion on </w:t>
      </w:r>
      <w:r w:rsidR="003D3430">
        <w:rPr>
          <w:b/>
          <w:color w:val="5B9BD5" w:themeColor="accent1"/>
          <w:sz w:val="48"/>
          <w:szCs w:val="48"/>
        </w:rPr>
        <w:t>five</w:t>
      </w:r>
      <w:r w:rsidR="003D3430" w:rsidRPr="007702D1">
        <w:rPr>
          <w:b/>
          <w:color w:val="5B9BD5" w:themeColor="accent1"/>
          <w:sz w:val="48"/>
          <w:szCs w:val="48"/>
        </w:rPr>
        <w:t xml:space="preserve"> </w:t>
      </w:r>
      <w:r w:rsidRPr="007702D1">
        <w:rPr>
          <w:b/>
          <w:color w:val="5B9BD5" w:themeColor="accent1"/>
          <w:sz w:val="48"/>
          <w:szCs w:val="48"/>
        </w:rPr>
        <w:t>novel foods applications for authorisation and transfer of authorisation holder for five smoke flavouring</w:t>
      </w:r>
      <w:r>
        <w:rPr>
          <w:b/>
          <w:color w:val="5B9BD5" w:themeColor="accent1"/>
          <w:sz w:val="48"/>
          <w:szCs w:val="48"/>
        </w:rPr>
        <w:t>s</w:t>
      </w:r>
    </w:p>
    <w:p w14:paraId="7CD72940" w14:textId="77777777" w:rsidR="000721BB" w:rsidRDefault="000721BB"/>
    <w:p w14:paraId="65566B12" w14:textId="77777777" w:rsidR="000721BB" w:rsidRPr="000721BB" w:rsidRDefault="000721BB">
      <w:pPr>
        <w:rPr>
          <w:b/>
          <w:color w:val="5B9BD5" w:themeColor="accent1"/>
          <w:sz w:val="36"/>
          <w:szCs w:val="36"/>
        </w:rPr>
      </w:pPr>
      <w:r w:rsidRPr="000721BB">
        <w:rPr>
          <w:b/>
          <w:color w:val="5B9BD5" w:themeColor="accent1"/>
          <w:sz w:val="36"/>
          <w:szCs w:val="36"/>
        </w:rPr>
        <w:t>Summary of stakeholder responses</w:t>
      </w:r>
    </w:p>
    <w:p w14:paraId="3F5674D2" w14:textId="77777777" w:rsidR="000721BB" w:rsidRDefault="000721BB"/>
    <w:p w14:paraId="72CC699D" w14:textId="75530355" w:rsidR="000721BB" w:rsidRDefault="00EA16C3">
      <w:r>
        <w:t>16</w:t>
      </w:r>
      <w:r w:rsidR="007702D1">
        <w:t xml:space="preserve"> </w:t>
      </w:r>
      <w:r w:rsidR="000721BB">
        <w:t>May 2022</w:t>
      </w:r>
    </w:p>
    <w:p w14:paraId="26FC9742" w14:textId="77777777" w:rsidR="000721BB" w:rsidRDefault="000721BB"/>
    <w:p w14:paraId="4343961E" w14:textId="77777777" w:rsidR="000721BB" w:rsidRPr="000721BB" w:rsidRDefault="000721BB">
      <w:pPr>
        <w:rPr>
          <w:b/>
          <w:color w:val="5B9BD5" w:themeColor="accent1"/>
          <w:sz w:val="36"/>
          <w:szCs w:val="36"/>
        </w:rPr>
      </w:pPr>
      <w:r w:rsidRPr="000721BB">
        <w:rPr>
          <w:b/>
          <w:color w:val="5B9BD5" w:themeColor="accent1"/>
          <w:sz w:val="36"/>
          <w:szCs w:val="36"/>
        </w:rPr>
        <w:t>Introduction</w:t>
      </w:r>
    </w:p>
    <w:p w14:paraId="12E2E042" w14:textId="77777777" w:rsidR="000721BB" w:rsidRDefault="000721BB"/>
    <w:p w14:paraId="24C1F1E9" w14:textId="2CF499AF" w:rsidR="007702D1" w:rsidRDefault="000721BB" w:rsidP="0073420B">
      <w:pPr>
        <w:shd w:val="clear" w:color="auto" w:fill="FFFFFF" w:themeFill="background1"/>
        <w:spacing w:before="300" w:after="120" w:line="360" w:lineRule="auto"/>
      </w:pPr>
      <w:r>
        <w:t xml:space="preserve">This consultation was launched on </w:t>
      </w:r>
      <w:r w:rsidR="007702D1">
        <w:t>31</w:t>
      </w:r>
      <w:r w:rsidR="007702D1" w:rsidRPr="007702D1">
        <w:rPr>
          <w:vertAlign w:val="superscript"/>
        </w:rPr>
        <w:t xml:space="preserve"> </w:t>
      </w:r>
      <w:r w:rsidR="007702D1">
        <w:t>March 2022</w:t>
      </w:r>
      <w:r>
        <w:t xml:space="preserve"> and closed on </w:t>
      </w:r>
      <w:r w:rsidR="007702D1">
        <w:t>13 April 2022</w:t>
      </w:r>
      <w:r w:rsidR="00EA16C3">
        <w:t>.</w:t>
      </w:r>
      <w:r>
        <w:t xml:space="preserve"> The Food Standards Agency (FSA) </w:t>
      </w:r>
      <w:r w:rsidR="007702D1">
        <w:t xml:space="preserve">also released </w:t>
      </w:r>
      <w:hyperlink r:id="rId9" w:history="1">
        <w:r w:rsidR="007702D1" w:rsidRPr="007702D1">
          <w:rPr>
            <w:rStyle w:val="Hyperlink"/>
          </w:rPr>
          <w:t>an update</w:t>
        </w:r>
      </w:hyperlink>
      <w:r w:rsidR="007702D1">
        <w:t xml:space="preserve"> in parallel</w:t>
      </w:r>
      <w:r w:rsidR="00EA16C3">
        <w:t xml:space="preserve">. </w:t>
      </w:r>
      <w:r>
        <w:t xml:space="preserve">This report is a summary of the </w:t>
      </w:r>
      <w:r w:rsidR="007702D1">
        <w:t xml:space="preserve">FSS </w:t>
      </w:r>
      <w:r>
        <w:t xml:space="preserve">consultation responses and </w:t>
      </w:r>
      <w:r w:rsidR="007702D1">
        <w:t>replies</w:t>
      </w:r>
      <w:r>
        <w:t xml:space="preserve"> to these.</w:t>
      </w:r>
    </w:p>
    <w:p w14:paraId="3F6A3862" w14:textId="3C5CF389" w:rsidR="007702D1" w:rsidRDefault="007702D1" w:rsidP="0073420B">
      <w:pPr>
        <w:shd w:val="clear" w:color="auto" w:fill="FFFFFF" w:themeFill="background1"/>
        <w:spacing w:before="300" w:after="120" w:line="360" w:lineRule="auto"/>
      </w:pPr>
      <w:r>
        <w:t xml:space="preserve">This consultation sought stakeholders’ views in relation to the authorisation of </w:t>
      </w:r>
      <w:r w:rsidR="003D3430">
        <w:t>five</w:t>
      </w:r>
      <w:r>
        <w:t xml:space="preserve"> novel food applications, which were submitted for authorisation to be placed on the GB market, in accordance with Retained EU Regulation 2015/2283. Stakeholder’s views were also sought regarding transfer of authorisation holder for five smoke flavourings.</w:t>
      </w:r>
    </w:p>
    <w:p w14:paraId="6901DF0A" w14:textId="77777777" w:rsidR="007702D1" w:rsidRPr="00B43426" w:rsidRDefault="007702D1" w:rsidP="0073420B">
      <w:pPr>
        <w:spacing w:after="120" w:line="360" w:lineRule="auto"/>
        <w:rPr>
          <w:color w:val="000000" w:themeColor="text1"/>
          <w:szCs w:val="24"/>
        </w:rPr>
      </w:pPr>
      <w:r>
        <w:t xml:space="preserve">This consultation followed an </w:t>
      </w:r>
      <w:hyperlink r:id="rId10" w:history="1">
        <w:r w:rsidRPr="007702D1">
          <w:rPr>
            <w:rStyle w:val="Hyperlink"/>
          </w:rPr>
          <w:t>original consultation</w:t>
        </w:r>
      </w:hyperlink>
      <w:r>
        <w:t xml:space="preserve"> on </w:t>
      </w:r>
      <w:r w:rsidRPr="007702D1">
        <w:t>six novel foods applications for authorisation</w:t>
      </w:r>
      <w:r>
        <w:t>. In the original consultation, four of the novel</w:t>
      </w:r>
      <w:r w:rsidR="000721BB">
        <w:t xml:space="preserve"> </w:t>
      </w:r>
      <w:r>
        <w:t xml:space="preserve">food </w:t>
      </w:r>
      <w:r w:rsidR="000721BB">
        <w:t>applications were</w:t>
      </w:r>
      <w:r>
        <w:t xml:space="preserve"> </w:t>
      </w:r>
      <w:r w:rsidR="000721BB">
        <w:t>extensions of</w:t>
      </w:r>
      <w:r>
        <w:t xml:space="preserve"> use for an</w:t>
      </w:r>
      <w:r w:rsidR="000721BB">
        <w:t xml:space="preserve"> existing authorisations and two were new applications.  </w:t>
      </w:r>
      <w:r>
        <w:t xml:space="preserve">Following the initial consultation, FSS and the FSA identified </w:t>
      </w:r>
      <w:r w:rsidRPr="00811EB2">
        <w:rPr>
          <w:rStyle w:val="normaltextrun"/>
          <w:color w:val="000000" w:themeColor="text1"/>
          <w:szCs w:val="24"/>
        </w:rPr>
        <w:t xml:space="preserve">a need to revise five of </w:t>
      </w:r>
      <w:r w:rsidRPr="00811EB2">
        <w:rPr>
          <w:rStyle w:val="normaltextrun"/>
          <w:color w:val="000000" w:themeColor="text1"/>
          <w:szCs w:val="24"/>
        </w:rPr>
        <w:lastRenderedPageBreak/>
        <w:t>the opinions, prior to advice being given to Minsters. The changes were identified through initial drafting discussions with lawyers, ahead of Scottish Statutory Instrument and Statutory Instrument drafting (should Ministers move to authorise). The changes relate to the way in which the authorisations w</w:t>
      </w:r>
      <w:r>
        <w:rPr>
          <w:rStyle w:val="normaltextrun"/>
          <w:color w:val="000000" w:themeColor="text1"/>
          <w:szCs w:val="24"/>
        </w:rPr>
        <w:t>ould</w:t>
      </w:r>
      <w:r w:rsidRPr="00811EB2">
        <w:rPr>
          <w:rStyle w:val="normaltextrun"/>
          <w:color w:val="000000" w:themeColor="text1"/>
          <w:szCs w:val="24"/>
        </w:rPr>
        <w:t xml:space="preserve"> be entered on the list of authorised novel foods (retained Regulation (EC) 2017/2470). </w:t>
      </w:r>
      <w:r w:rsidRPr="00811EB2">
        <w:rPr>
          <w:rStyle w:val="eop"/>
          <w:color w:val="000000" w:themeColor="text1"/>
          <w:szCs w:val="24"/>
        </w:rPr>
        <w:t> The p</w:t>
      </w:r>
      <w:r w:rsidRPr="00811EB2">
        <w:rPr>
          <w:rStyle w:val="normaltextrun"/>
          <w:color w:val="000000" w:themeColor="text1"/>
          <w:szCs w:val="24"/>
        </w:rPr>
        <w:t>roposed changes do not affect the safety assessment</w:t>
      </w:r>
      <w:r>
        <w:rPr>
          <w:rStyle w:val="normaltextrun"/>
          <w:color w:val="000000" w:themeColor="text1"/>
          <w:szCs w:val="24"/>
        </w:rPr>
        <w:t xml:space="preserve"> of the novel foods</w:t>
      </w:r>
      <w:r w:rsidRPr="00811EB2">
        <w:rPr>
          <w:rStyle w:val="normaltextrun"/>
          <w:color w:val="000000" w:themeColor="text1"/>
          <w:szCs w:val="24"/>
        </w:rPr>
        <w:t xml:space="preserve">. However, in the interests of transparent policymaking, </w:t>
      </w:r>
      <w:r>
        <w:rPr>
          <w:rStyle w:val="normaltextrun"/>
          <w:color w:val="000000" w:themeColor="text1"/>
          <w:szCs w:val="24"/>
        </w:rPr>
        <w:t>FSS launched this second two-week consultation inviting public comment.</w:t>
      </w:r>
    </w:p>
    <w:p w14:paraId="07D681DD" w14:textId="77777777" w:rsidR="007702D1" w:rsidRDefault="000721BB" w:rsidP="0073420B">
      <w:pPr>
        <w:spacing w:after="120" w:line="360" w:lineRule="auto"/>
      </w:pPr>
      <w:r>
        <w:t xml:space="preserve">FSS’s opinions concerning </w:t>
      </w:r>
      <w:r w:rsidR="007702D1">
        <w:t xml:space="preserve">three </w:t>
      </w:r>
      <w:r>
        <w:t xml:space="preserve">of these applications </w:t>
      </w:r>
      <w:r w:rsidR="007702D1">
        <w:t>have been</w:t>
      </w:r>
      <w:r>
        <w:t xml:space="preserve"> subsequently amended to proceed with them as new applications.</w:t>
      </w:r>
      <w:r w:rsidR="007702D1">
        <w:t xml:space="preserve"> As a result, in this second consultation five of the novel food applications were new applications and one was an extension of use for an existing authorisation. </w:t>
      </w:r>
      <w:r>
        <w:t>Additional</w:t>
      </w:r>
      <w:r w:rsidR="007702D1">
        <w:t xml:space="preserve"> minor</w:t>
      </w:r>
      <w:r>
        <w:t xml:space="preserve"> revisions </w:t>
      </w:r>
      <w:r w:rsidR="007702D1">
        <w:t>were</w:t>
      </w:r>
      <w:r>
        <w:t xml:space="preserve"> made to </w:t>
      </w:r>
      <w:r w:rsidR="007702D1">
        <w:t>the title of two</w:t>
      </w:r>
      <w:r>
        <w:t xml:space="preserve"> of the applications, prior to advice being given to Ministers.</w:t>
      </w:r>
    </w:p>
    <w:p w14:paraId="4B40BF18" w14:textId="77777777" w:rsidR="000721BB" w:rsidRDefault="000721BB" w:rsidP="0073420B">
      <w:pPr>
        <w:spacing w:after="120" w:line="360" w:lineRule="auto"/>
      </w:pPr>
      <w:r>
        <w:t xml:space="preserve">FSS’s opinions </w:t>
      </w:r>
      <w:r w:rsidR="007702D1">
        <w:t>have been</w:t>
      </w:r>
      <w:r>
        <w:t xml:space="preserve"> subsequently updated to </w:t>
      </w:r>
      <w:r w:rsidR="007702D1">
        <w:t>re</w:t>
      </w:r>
      <w:r>
        <w:t>class</w:t>
      </w:r>
      <w:r w:rsidR="007702D1">
        <w:t>ify</w:t>
      </w:r>
      <w:r>
        <w:t xml:space="preserve"> the applications and correct the headings of </w:t>
      </w:r>
      <w:proofErr w:type="spellStart"/>
      <w:r>
        <w:t>RP8</w:t>
      </w:r>
      <w:proofErr w:type="spellEnd"/>
      <w:r>
        <w:t xml:space="preserve"> and </w:t>
      </w:r>
      <w:proofErr w:type="spellStart"/>
      <w:r>
        <w:t>RP9</w:t>
      </w:r>
      <w:proofErr w:type="spellEnd"/>
      <w:r>
        <w:t xml:space="preserve"> as follows:</w:t>
      </w:r>
    </w:p>
    <w:p w14:paraId="0DEFE452" w14:textId="77777777" w:rsidR="000721BB" w:rsidRDefault="000721BB">
      <w:pPr>
        <w:pStyle w:val="ListParagraph"/>
        <w:numPr>
          <w:ilvl w:val="0"/>
          <w:numId w:val="8"/>
        </w:numPr>
        <w:spacing w:line="360" w:lineRule="auto"/>
      </w:pPr>
      <w:r>
        <w:t>Authorisation of five new novel foods</w:t>
      </w:r>
      <w:r w:rsidR="007702D1">
        <w:t xml:space="preserve"> applications</w:t>
      </w:r>
      <w:r>
        <w:t xml:space="preserve">:  </w:t>
      </w:r>
    </w:p>
    <w:p w14:paraId="4716E725" w14:textId="77777777" w:rsidR="000721BB" w:rsidRDefault="000721BB">
      <w:pPr>
        <w:pStyle w:val="ListParagraph"/>
        <w:numPr>
          <w:ilvl w:val="1"/>
          <w:numId w:val="8"/>
        </w:numPr>
        <w:spacing w:line="360" w:lineRule="auto"/>
      </w:pPr>
      <w:proofErr w:type="spellStart"/>
      <w:r>
        <w:t>RP8</w:t>
      </w:r>
      <w:proofErr w:type="spellEnd"/>
      <w:r>
        <w:t xml:space="preserve"> – 3’-sialyllactose (3’-SL) sodium salt; </w:t>
      </w:r>
    </w:p>
    <w:p w14:paraId="54AE499C" w14:textId="77777777" w:rsidR="000721BB" w:rsidRDefault="000721BB">
      <w:pPr>
        <w:pStyle w:val="ListParagraph"/>
        <w:numPr>
          <w:ilvl w:val="1"/>
          <w:numId w:val="8"/>
        </w:numPr>
        <w:spacing w:line="360" w:lineRule="auto"/>
      </w:pPr>
      <w:proofErr w:type="spellStart"/>
      <w:r>
        <w:t>RP9</w:t>
      </w:r>
      <w:proofErr w:type="spellEnd"/>
      <w:r>
        <w:t xml:space="preserve"> – 6’-sialyllactose (6’-SL) sodium salt;</w:t>
      </w:r>
    </w:p>
    <w:p w14:paraId="3D4AD757" w14:textId="77777777" w:rsidR="000721BB" w:rsidRDefault="000721BB">
      <w:pPr>
        <w:pStyle w:val="ListParagraph"/>
        <w:numPr>
          <w:ilvl w:val="1"/>
          <w:numId w:val="8"/>
        </w:numPr>
        <w:spacing w:line="360" w:lineRule="auto"/>
      </w:pPr>
      <w:proofErr w:type="spellStart"/>
      <w:r>
        <w:t>RP87</w:t>
      </w:r>
      <w:proofErr w:type="spellEnd"/>
      <w:r>
        <w:t xml:space="preserve"> – </w:t>
      </w:r>
      <w:proofErr w:type="spellStart"/>
      <w:r>
        <w:t>DHA</w:t>
      </w:r>
      <w:proofErr w:type="spellEnd"/>
      <w:r>
        <w:t xml:space="preserve">-rich algal oil from </w:t>
      </w:r>
      <w:r>
        <w:rPr>
          <w:i/>
          <w:iCs/>
        </w:rPr>
        <w:t>Schizochytrium</w:t>
      </w:r>
      <w:r>
        <w:t xml:space="preserve"> </w:t>
      </w:r>
      <w:proofErr w:type="spellStart"/>
      <w:r>
        <w:t>sp</w:t>
      </w:r>
      <w:proofErr w:type="spellEnd"/>
      <w:r>
        <w:t xml:space="preserve"> strain </w:t>
      </w:r>
      <w:proofErr w:type="spellStart"/>
      <w:r>
        <w:t>WZU477</w:t>
      </w:r>
      <w:proofErr w:type="spellEnd"/>
      <w:r>
        <w:t>;</w:t>
      </w:r>
    </w:p>
    <w:p w14:paraId="7B33ED22" w14:textId="77777777" w:rsidR="000721BB" w:rsidRDefault="000721BB">
      <w:pPr>
        <w:pStyle w:val="ListParagraph"/>
        <w:numPr>
          <w:ilvl w:val="1"/>
          <w:numId w:val="8"/>
        </w:numPr>
        <w:spacing w:line="360" w:lineRule="auto"/>
      </w:pPr>
      <w:proofErr w:type="spellStart"/>
      <w:r>
        <w:t>RP810</w:t>
      </w:r>
      <w:proofErr w:type="spellEnd"/>
      <w:r>
        <w:t xml:space="preserve"> – </w:t>
      </w:r>
      <w:proofErr w:type="spellStart"/>
      <w:r>
        <w:t>DHA</w:t>
      </w:r>
      <w:proofErr w:type="spellEnd"/>
      <w:r>
        <w:t xml:space="preserve"> 550 </w:t>
      </w:r>
      <w:r>
        <w:rPr>
          <w:i/>
          <w:iCs/>
        </w:rPr>
        <w:t>Schizochytrium</w:t>
      </w:r>
      <w:r>
        <w:t xml:space="preserve"> </w:t>
      </w:r>
      <w:proofErr w:type="spellStart"/>
      <w:r>
        <w:t>sp</w:t>
      </w:r>
      <w:proofErr w:type="spellEnd"/>
      <w:r>
        <w:t xml:space="preserve"> strain (FCC-3204) (application to increase the daily intake of </w:t>
      </w:r>
      <w:proofErr w:type="spellStart"/>
      <w:r>
        <w:t>DHA</w:t>
      </w:r>
      <w:proofErr w:type="spellEnd"/>
      <w:r>
        <w:t xml:space="preserve"> from this source to 1000 mg/day);</w:t>
      </w:r>
    </w:p>
    <w:p w14:paraId="121D2AF7" w14:textId="77777777" w:rsidR="000721BB" w:rsidRDefault="000721BB">
      <w:pPr>
        <w:pStyle w:val="ListParagraph"/>
        <w:numPr>
          <w:ilvl w:val="1"/>
          <w:numId w:val="8"/>
        </w:numPr>
        <w:spacing w:line="360" w:lineRule="auto"/>
      </w:pPr>
      <w:proofErr w:type="spellStart"/>
      <w:r>
        <w:t>RP811</w:t>
      </w:r>
      <w:proofErr w:type="spellEnd"/>
      <w:r>
        <w:t xml:space="preserve"> – </w:t>
      </w:r>
      <w:proofErr w:type="spellStart"/>
      <w:r>
        <w:t>DHA</w:t>
      </w:r>
      <w:proofErr w:type="spellEnd"/>
      <w:r>
        <w:t xml:space="preserve"> 550 </w:t>
      </w:r>
      <w:r>
        <w:rPr>
          <w:i/>
          <w:iCs/>
        </w:rPr>
        <w:t>Schizochytrium</w:t>
      </w:r>
      <w:r>
        <w:t xml:space="preserve"> </w:t>
      </w:r>
      <w:proofErr w:type="spellStart"/>
      <w:r>
        <w:t>sp</w:t>
      </w:r>
      <w:proofErr w:type="spellEnd"/>
      <w:r>
        <w:t xml:space="preserve"> strain (FCC-3204) (application to extend the use to infant and follow-on formula). </w:t>
      </w:r>
    </w:p>
    <w:p w14:paraId="0405F1B8" w14:textId="77777777" w:rsidR="000721BB" w:rsidRDefault="000721BB">
      <w:pPr>
        <w:pStyle w:val="ListParagraph"/>
        <w:numPr>
          <w:ilvl w:val="0"/>
          <w:numId w:val="8"/>
        </w:numPr>
        <w:spacing w:line="360" w:lineRule="auto"/>
      </w:pPr>
      <w:r>
        <w:t xml:space="preserve">Extension of the authorised use for one authorised novel food:  </w:t>
      </w:r>
    </w:p>
    <w:p w14:paraId="7316C4DB" w14:textId="77777777" w:rsidR="000721BB" w:rsidRDefault="000721BB">
      <w:pPr>
        <w:pStyle w:val="ListParagraph"/>
        <w:numPr>
          <w:ilvl w:val="1"/>
          <w:numId w:val="8"/>
        </w:numPr>
        <w:spacing w:line="360" w:lineRule="auto"/>
      </w:pPr>
      <w:proofErr w:type="spellStart"/>
      <w:r>
        <w:t>RP14</w:t>
      </w:r>
      <w:proofErr w:type="spellEnd"/>
      <w:r>
        <w:t xml:space="preserve"> – 2’-</w:t>
      </w:r>
      <w:proofErr w:type="spellStart"/>
      <w:r>
        <w:t>fucosyllactose</w:t>
      </w:r>
      <w:proofErr w:type="spellEnd"/>
      <w:r>
        <w:t xml:space="preserve"> / </w:t>
      </w:r>
      <w:proofErr w:type="spellStart"/>
      <w:r>
        <w:t>difucosyllactose</w:t>
      </w:r>
      <w:proofErr w:type="spellEnd"/>
      <w:r>
        <w:t xml:space="preserve"> mixture;</w:t>
      </w:r>
    </w:p>
    <w:p w14:paraId="4B8AFB6C" w14:textId="77777777" w:rsidR="000721BB" w:rsidRDefault="000721BB" w:rsidP="0073420B">
      <w:pPr>
        <w:spacing w:after="120" w:line="360" w:lineRule="auto"/>
      </w:pPr>
      <w:r>
        <w:t xml:space="preserve">Full details of the revisions to the opinions can be found </w:t>
      </w:r>
      <w:hyperlink r:id="rId11" w:history="1">
        <w:r w:rsidRPr="007702D1">
          <w:rPr>
            <w:rStyle w:val="Hyperlink"/>
          </w:rPr>
          <w:t>here</w:t>
        </w:r>
      </w:hyperlink>
      <w:r>
        <w:t xml:space="preserve">.  </w:t>
      </w:r>
    </w:p>
    <w:p w14:paraId="2DDC2D6F" w14:textId="77777777" w:rsidR="000721BB" w:rsidRDefault="000721BB" w:rsidP="0073420B">
      <w:pPr>
        <w:spacing w:after="120" w:line="360" w:lineRule="auto"/>
      </w:pPr>
      <w:r>
        <w:t xml:space="preserve">Stakeholders were asked to consider any relevant provisions of retained EU law and factors (e.g. consumer interests, technical feasibility and environmental factors) that </w:t>
      </w:r>
      <w:r w:rsidR="007702D1">
        <w:t xml:space="preserve"> </w:t>
      </w:r>
      <w:r>
        <w:t xml:space="preserve">FSS and the FSA identified as relevant to these applications. </w:t>
      </w:r>
    </w:p>
    <w:p w14:paraId="72C7D4F0" w14:textId="77777777" w:rsidR="007702D1" w:rsidRDefault="000721BB" w:rsidP="0073420B">
      <w:pPr>
        <w:spacing w:after="120" w:line="360" w:lineRule="auto"/>
        <w:rPr>
          <w:rStyle w:val="normaltextrun"/>
          <w:rFonts w:cs="Arial"/>
          <w:color w:val="000000"/>
          <w:shd w:val="clear" w:color="auto" w:fill="FFFFFF"/>
        </w:rPr>
      </w:pPr>
      <w:r>
        <w:lastRenderedPageBreak/>
        <w:t>The novel foods and their conditions of use included in this consultation are currently authorised for use in Northern Ireland, in line with legislation that applies there, under the Northern Ireland Protocol.</w:t>
      </w:r>
    </w:p>
    <w:p w14:paraId="7740DE51" w14:textId="77777777" w:rsidR="000721BB" w:rsidRDefault="000721BB" w:rsidP="0073420B">
      <w:pPr>
        <w:spacing w:after="120" w:line="360" w:lineRule="auto"/>
        <w:rPr>
          <w:rStyle w:val="normaltextrun"/>
          <w:rFonts w:cs="Arial"/>
          <w:color w:val="000000"/>
          <w:shd w:val="clear" w:color="auto" w:fill="FFFFFF"/>
        </w:rPr>
      </w:pPr>
      <w:r>
        <w:rPr>
          <w:rStyle w:val="normaltextrun"/>
          <w:rFonts w:cs="Arial"/>
          <w:color w:val="000000"/>
          <w:shd w:val="clear" w:color="auto" w:fill="FFFFFF"/>
        </w:rPr>
        <w:t>The</w:t>
      </w:r>
      <w:r w:rsidRPr="00430A34">
        <w:rPr>
          <w:rStyle w:val="normaltextrun"/>
          <w:rFonts w:cs="Arial"/>
          <w:color w:val="000000"/>
          <w:shd w:val="clear" w:color="auto" w:fill="FFFFFF"/>
        </w:rPr>
        <w:t xml:space="preserve"> reach</w:t>
      </w:r>
      <w:r>
        <w:rPr>
          <w:rStyle w:val="normaltextrun"/>
          <w:rFonts w:cs="Arial"/>
          <w:color w:val="000000"/>
          <w:shd w:val="clear" w:color="auto" w:fill="FFFFFF"/>
        </w:rPr>
        <w:t xml:space="preserve"> </w:t>
      </w:r>
      <w:r w:rsidR="007702D1">
        <w:rPr>
          <w:rStyle w:val="normaltextrun"/>
          <w:rFonts w:cs="Arial"/>
          <w:color w:val="000000"/>
          <w:shd w:val="clear" w:color="auto" w:fill="FFFFFF"/>
        </w:rPr>
        <w:t xml:space="preserve">of this </w:t>
      </w:r>
      <w:r>
        <w:rPr>
          <w:rStyle w:val="normaltextrun"/>
          <w:rFonts w:cs="Arial"/>
          <w:color w:val="000000"/>
          <w:shd w:val="clear" w:color="auto" w:fill="FFFFFF"/>
        </w:rPr>
        <w:t>consultation</w:t>
      </w:r>
      <w:r w:rsidRPr="00430A34">
        <w:rPr>
          <w:rStyle w:val="normaltextrun"/>
          <w:rFonts w:cs="Arial"/>
          <w:color w:val="000000"/>
          <w:shd w:val="clear" w:color="auto" w:fill="FFFFFF"/>
        </w:rPr>
        <w:t xml:space="preserve"> was </w:t>
      </w:r>
      <w:r w:rsidRPr="00B56AA4">
        <w:rPr>
          <w:rStyle w:val="normaltextrun"/>
          <w:rFonts w:cs="Arial"/>
          <w:color w:val="000000"/>
          <w:shd w:val="clear" w:color="auto" w:fill="FFFFFF"/>
        </w:rPr>
        <w:t xml:space="preserve">comprehensive, </w:t>
      </w:r>
      <w:r>
        <w:rPr>
          <w:rStyle w:val="normaltextrun"/>
          <w:rFonts w:cs="Arial"/>
          <w:color w:val="000000"/>
          <w:shd w:val="clear" w:color="auto" w:fill="FFFFFF"/>
        </w:rPr>
        <w:t xml:space="preserve">achieved through subscription alerts, social media posts and directly contacting stakeholders. </w:t>
      </w:r>
      <w:r w:rsidR="007702D1">
        <w:rPr>
          <w:rStyle w:val="normaltextrun"/>
          <w:rFonts w:cs="Arial"/>
          <w:color w:val="000000"/>
          <w:shd w:val="clear" w:color="auto" w:fill="FFFFFF"/>
        </w:rPr>
        <w:t xml:space="preserve">This consultation was sent to </w:t>
      </w:r>
      <w:r>
        <w:rPr>
          <w:rStyle w:val="normaltextrun"/>
          <w:rFonts w:cs="Arial"/>
          <w:color w:val="000000"/>
          <w:shd w:val="clear" w:color="auto" w:fill="FFFFFF"/>
        </w:rPr>
        <w:t xml:space="preserve">88 subscribers. </w:t>
      </w:r>
      <w:r w:rsidRPr="007B3E63">
        <w:rPr>
          <w:rStyle w:val="normaltextrun"/>
          <w:rFonts w:cs="Arial"/>
          <w:color w:val="000000"/>
          <w:shd w:val="clear" w:color="auto" w:fill="FFFFFF"/>
        </w:rPr>
        <w:t>Key stakeholders whose businesses/</w:t>
      </w:r>
      <w:r w:rsidRPr="00366296">
        <w:rPr>
          <w:rStyle w:val="normaltextrun"/>
          <w:rFonts w:cs="Arial"/>
          <w:color w:val="000000"/>
          <w:shd w:val="clear" w:color="auto" w:fill="FFFFFF"/>
        </w:rPr>
        <w:t>organisations are likely to be affected by, or to have an interest in, the novel foods</w:t>
      </w:r>
      <w:r w:rsidR="007702D1">
        <w:rPr>
          <w:rStyle w:val="normaltextrun"/>
          <w:rFonts w:cs="Arial"/>
          <w:color w:val="000000"/>
          <w:shd w:val="clear" w:color="auto" w:fill="FFFFFF"/>
        </w:rPr>
        <w:t xml:space="preserve"> and the smoke flavouring transfers of authorisation holder </w:t>
      </w:r>
      <w:r w:rsidRPr="00366296">
        <w:rPr>
          <w:rStyle w:val="normaltextrun"/>
          <w:rFonts w:cs="Arial"/>
          <w:color w:val="000000"/>
          <w:shd w:val="clear" w:color="auto" w:fill="FFFFFF"/>
        </w:rPr>
        <w:t xml:space="preserve">were contacted directly for their feedback. To ensure representation </w:t>
      </w:r>
      <w:r w:rsidRPr="008B72F6">
        <w:rPr>
          <w:rStyle w:val="normaltextrun"/>
          <w:rFonts w:cs="Arial"/>
          <w:color w:val="000000"/>
          <w:shd w:val="clear" w:color="auto" w:fill="FFFFFF"/>
        </w:rPr>
        <w:t>across a broad spectrum of opinion, stakeholders with a</w:t>
      </w:r>
      <w:r w:rsidR="00872CC0">
        <w:rPr>
          <w:rStyle w:val="normaltextrun"/>
          <w:rFonts w:cs="Arial"/>
          <w:color w:val="000000"/>
          <w:shd w:val="clear" w:color="auto" w:fill="FFFFFF"/>
        </w:rPr>
        <w:t xml:space="preserve">n </w:t>
      </w:r>
      <w:r w:rsidRPr="008B72F6">
        <w:rPr>
          <w:rStyle w:val="normaltextrun"/>
          <w:rFonts w:cs="Arial"/>
          <w:color w:val="000000"/>
          <w:shd w:val="clear" w:color="auto" w:fill="FFFFFF"/>
        </w:rPr>
        <w:t>interest in infant nutrition, were</w:t>
      </w:r>
      <w:r w:rsidRPr="00366296">
        <w:rPr>
          <w:rStyle w:val="normaltextrun"/>
          <w:rFonts w:cs="Arial"/>
          <w:color w:val="000000"/>
          <w:shd w:val="clear" w:color="auto" w:fill="FFFFFF"/>
        </w:rPr>
        <w:t xml:space="preserve"> included.</w:t>
      </w:r>
      <w:r w:rsidR="007702D1">
        <w:rPr>
          <w:rStyle w:val="normaltextrun"/>
          <w:rFonts w:cs="Arial"/>
          <w:color w:val="000000"/>
          <w:shd w:val="clear" w:color="auto" w:fill="FFFFFF"/>
        </w:rPr>
        <w:t xml:space="preserve"> </w:t>
      </w:r>
      <w:r>
        <w:rPr>
          <w:rStyle w:val="normaltextrun"/>
          <w:rFonts w:cs="Arial"/>
          <w:color w:val="000000"/>
          <w:shd w:val="clear" w:color="auto" w:fill="FFFFFF"/>
        </w:rPr>
        <w:t>Th</w:t>
      </w:r>
      <w:r w:rsidR="007702D1">
        <w:rPr>
          <w:rStyle w:val="normaltextrun"/>
          <w:rFonts w:cs="Arial"/>
          <w:color w:val="000000"/>
          <w:shd w:val="clear" w:color="auto" w:fill="FFFFFF"/>
        </w:rPr>
        <w:t>is</w:t>
      </w:r>
      <w:r>
        <w:rPr>
          <w:rStyle w:val="normaltextrun"/>
          <w:rFonts w:cs="Arial"/>
          <w:color w:val="000000"/>
          <w:shd w:val="clear" w:color="auto" w:fill="FFFFFF"/>
        </w:rPr>
        <w:t xml:space="preserve"> consultation generated 279 impressions on Twitter, 116 impressions on LinkedIn and 940 impressions on Facebook.</w:t>
      </w:r>
    </w:p>
    <w:p w14:paraId="0E9DAF42" w14:textId="77777777" w:rsidR="000721BB" w:rsidRDefault="000721BB" w:rsidP="0073420B">
      <w:pPr>
        <w:spacing w:after="120" w:line="360" w:lineRule="auto"/>
      </w:pPr>
      <w:r>
        <w:t xml:space="preserve">FSS is grateful to those who </w:t>
      </w:r>
      <w:r w:rsidRPr="007815ED">
        <w:t>responded. The comments, together with FS</w:t>
      </w:r>
      <w:r w:rsidR="007702D1">
        <w:t>S</w:t>
      </w:r>
      <w:r w:rsidRPr="007815ED">
        <w:t xml:space="preserve">’s responses to these, are set out in </w:t>
      </w:r>
      <w:r>
        <w:t>the tables</w:t>
      </w:r>
      <w:r w:rsidRPr="007815ED">
        <w:t xml:space="preserve"> below.</w:t>
      </w:r>
      <w:r>
        <w:t xml:space="preserve">  </w:t>
      </w:r>
    </w:p>
    <w:p w14:paraId="525924C2" w14:textId="77777777" w:rsidR="000721BB" w:rsidRPr="00C85511" w:rsidRDefault="000721BB">
      <w:pPr>
        <w:outlineLvl w:val="2"/>
        <w:rPr>
          <w:b/>
          <w:bCs/>
          <w:color w:val="5B9BD5" w:themeColor="accent1"/>
          <w:sz w:val="36"/>
          <w:szCs w:val="36"/>
        </w:rPr>
      </w:pPr>
      <w:r w:rsidRPr="00C85511">
        <w:rPr>
          <w:rFonts w:cs="Arial"/>
          <w:b/>
          <w:bCs/>
          <w:color w:val="5B9BD5" w:themeColor="accent1"/>
          <w:sz w:val="36"/>
          <w:szCs w:val="36"/>
        </w:rPr>
        <w:t>Characteristics of respondents</w:t>
      </w:r>
      <w:r w:rsidR="007702D1">
        <w:rPr>
          <w:rFonts w:cs="Arial"/>
          <w:b/>
          <w:bCs/>
          <w:color w:val="5B9BD5" w:themeColor="accent1"/>
          <w:sz w:val="36"/>
          <w:szCs w:val="36"/>
        </w:rPr>
        <w:t xml:space="preserve"> and summary of responses</w:t>
      </w:r>
    </w:p>
    <w:p w14:paraId="40E3FFA4" w14:textId="77777777" w:rsidR="000721BB" w:rsidRDefault="000721BB" w:rsidP="000721BB">
      <w:pPr>
        <w:spacing w:line="360" w:lineRule="auto"/>
        <w:jc w:val="both"/>
        <w:rPr>
          <w:rFonts w:eastAsia="Arial" w:cs="Arial"/>
        </w:rPr>
      </w:pPr>
    </w:p>
    <w:p w14:paraId="05D31644" w14:textId="77777777" w:rsidR="007702D1" w:rsidRDefault="007702D1" w:rsidP="0073420B">
      <w:pPr>
        <w:spacing w:line="360" w:lineRule="auto"/>
        <w:rPr>
          <w:rFonts w:eastAsia="Arial" w:cs="Arial"/>
        </w:rPr>
      </w:pPr>
      <w:r>
        <w:rPr>
          <w:rFonts w:eastAsia="Arial" w:cs="Arial"/>
        </w:rPr>
        <w:t xml:space="preserve">This second consultation received 4 responses. 1 of these was </w:t>
      </w:r>
      <w:r w:rsidR="000721BB">
        <w:rPr>
          <w:rFonts w:eastAsia="Arial" w:cs="Arial"/>
        </w:rPr>
        <w:t xml:space="preserve">regarding </w:t>
      </w:r>
      <w:r>
        <w:rPr>
          <w:rFonts w:eastAsia="Arial" w:cs="Arial"/>
        </w:rPr>
        <w:t xml:space="preserve">the </w:t>
      </w:r>
      <w:r w:rsidR="000721BB">
        <w:rPr>
          <w:rFonts w:eastAsia="Arial" w:cs="Arial"/>
        </w:rPr>
        <w:t>novel foods</w:t>
      </w:r>
      <w:r>
        <w:rPr>
          <w:rFonts w:eastAsia="Arial" w:cs="Arial"/>
        </w:rPr>
        <w:t xml:space="preserve"> and agreed </w:t>
      </w:r>
      <w:r w:rsidR="000721BB">
        <w:rPr>
          <w:rFonts w:eastAsia="Arial" w:cs="Arial"/>
        </w:rPr>
        <w:t>with the risk assessment</w:t>
      </w:r>
      <w:r>
        <w:rPr>
          <w:rFonts w:eastAsia="Arial" w:cs="Arial"/>
        </w:rPr>
        <w:t xml:space="preserve"> procedure</w:t>
      </w:r>
      <w:r w:rsidR="000721BB">
        <w:rPr>
          <w:rFonts w:eastAsia="Arial" w:cs="Arial"/>
        </w:rPr>
        <w:t>.</w:t>
      </w:r>
      <w:r>
        <w:rPr>
          <w:rFonts w:eastAsia="Arial" w:cs="Arial"/>
        </w:rPr>
        <w:t xml:space="preserve"> This was an anonymous response.</w:t>
      </w:r>
    </w:p>
    <w:p w14:paraId="0E09E075" w14:textId="77777777" w:rsidR="007702D1" w:rsidRDefault="007702D1" w:rsidP="0073420B">
      <w:pPr>
        <w:spacing w:line="360" w:lineRule="auto"/>
        <w:rPr>
          <w:rFonts w:eastAsia="Arial" w:cs="Arial"/>
        </w:rPr>
      </w:pPr>
    </w:p>
    <w:p w14:paraId="2BF4B35C" w14:textId="77777777" w:rsidR="000721BB" w:rsidRDefault="007702D1" w:rsidP="0073420B">
      <w:pPr>
        <w:spacing w:line="360" w:lineRule="auto"/>
        <w:rPr>
          <w:rFonts w:eastAsia="Arial" w:cs="Arial"/>
        </w:rPr>
      </w:pPr>
      <w:r>
        <w:rPr>
          <w:rFonts w:eastAsia="Arial" w:cs="Arial"/>
        </w:rPr>
        <w:t xml:space="preserve">The remaining 3 responses were regarding </w:t>
      </w:r>
      <w:r w:rsidR="000721BB">
        <w:rPr>
          <w:rFonts w:eastAsia="Arial" w:cs="Arial"/>
        </w:rPr>
        <w:t xml:space="preserve">the </w:t>
      </w:r>
      <w:r>
        <w:rPr>
          <w:rFonts w:eastAsia="Arial" w:cs="Arial"/>
        </w:rPr>
        <w:t xml:space="preserve">transfer </w:t>
      </w:r>
      <w:r w:rsidR="000721BB">
        <w:rPr>
          <w:rFonts w:eastAsia="Arial" w:cs="Arial"/>
        </w:rPr>
        <w:t xml:space="preserve">of authorisation holders for </w:t>
      </w:r>
      <w:r>
        <w:rPr>
          <w:rFonts w:eastAsia="Arial" w:cs="Arial"/>
        </w:rPr>
        <w:t xml:space="preserve">five smoke flavourings, acknowledging the transfers. 1 response raised a minor concern regarding timescales. 2 of these were anonymous and 1 was from </w:t>
      </w:r>
      <w:proofErr w:type="spellStart"/>
      <w:r>
        <w:rPr>
          <w:rFonts w:eastAsia="Arial" w:cs="Arial"/>
        </w:rPr>
        <w:t>Kompozíció</w:t>
      </w:r>
      <w:proofErr w:type="spellEnd"/>
      <w:r>
        <w:rPr>
          <w:rFonts w:eastAsia="Arial" w:cs="Arial"/>
        </w:rPr>
        <w:t xml:space="preserve"> </w:t>
      </w:r>
      <w:proofErr w:type="spellStart"/>
      <w:r>
        <w:rPr>
          <w:rFonts w:eastAsia="Arial" w:cs="Arial"/>
        </w:rPr>
        <w:t>Kft</w:t>
      </w:r>
      <w:proofErr w:type="spellEnd"/>
      <w:r>
        <w:rPr>
          <w:rFonts w:eastAsia="Arial" w:cs="Arial"/>
        </w:rPr>
        <w:t>, a smoke flavouring business operator.</w:t>
      </w:r>
    </w:p>
    <w:p w14:paraId="65919581" w14:textId="77777777" w:rsidR="000721BB" w:rsidRDefault="000721BB" w:rsidP="0073420B">
      <w:pPr>
        <w:spacing w:line="360" w:lineRule="auto"/>
        <w:rPr>
          <w:rFonts w:eastAsia="Arial" w:cs="Arial"/>
        </w:rPr>
      </w:pPr>
    </w:p>
    <w:p w14:paraId="1D2161D6" w14:textId="77777777" w:rsidR="000721BB" w:rsidRDefault="000721BB" w:rsidP="0073420B">
      <w:pPr>
        <w:spacing w:line="360" w:lineRule="auto"/>
      </w:pPr>
      <w:r>
        <w:t xml:space="preserve">A list of those who responded can be found </w:t>
      </w:r>
      <w:r w:rsidR="007702D1">
        <w:t>below</w:t>
      </w:r>
      <w:r>
        <w:t>.</w:t>
      </w:r>
    </w:p>
    <w:p w14:paraId="24B31EC5" w14:textId="77777777" w:rsidR="000721BB" w:rsidRDefault="000721BB" w:rsidP="000721BB">
      <w:pPr>
        <w:spacing w:line="360" w:lineRule="auto"/>
        <w:jc w:val="both"/>
      </w:pPr>
    </w:p>
    <w:p w14:paraId="06B01EBF" w14:textId="77777777" w:rsidR="000721BB" w:rsidRDefault="000721BB" w:rsidP="000721BB">
      <w:pPr>
        <w:spacing w:after="120" w:line="360" w:lineRule="auto"/>
        <w:jc w:val="both"/>
      </w:pPr>
    </w:p>
    <w:p w14:paraId="2D983B30" w14:textId="77777777" w:rsidR="000721BB" w:rsidRPr="000721BB" w:rsidRDefault="000721BB" w:rsidP="000721BB">
      <w:pPr>
        <w:pStyle w:val="Heading1"/>
        <w:pageBreakBefore/>
        <w:numPr>
          <w:ilvl w:val="0"/>
          <w:numId w:val="0"/>
        </w:numPr>
        <w:rPr>
          <w:b/>
          <w:color w:val="5B9BD5" w:themeColor="accent1"/>
          <w:sz w:val="36"/>
          <w:szCs w:val="36"/>
        </w:rPr>
      </w:pPr>
      <w:r w:rsidRPr="000721BB">
        <w:rPr>
          <w:b/>
          <w:color w:val="5B9BD5" w:themeColor="accent1"/>
          <w:sz w:val="36"/>
          <w:szCs w:val="36"/>
        </w:rPr>
        <w:lastRenderedPageBreak/>
        <w:t>Summary of substantive comments and FS</w:t>
      </w:r>
      <w:r w:rsidR="007702D1">
        <w:rPr>
          <w:b/>
          <w:color w:val="5B9BD5" w:themeColor="accent1"/>
          <w:sz w:val="36"/>
          <w:szCs w:val="36"/>
        </w:rPr>
        <w:t>S</w:t>
      </w:r>
      <w:r w:rsidRPr="000721BB">
        <w:rPr>
          <w:b/>
          <w:color w:val="5B9BD5" w:themeColor="accent1"/>
          <w:sz w:val="36"/>
          <w:szCs w:val="36"/>
        </w:rPr>
        <w:t xml:space="preserve"> response</w:t>
      </w:r>
    </w:p>
    <w:p w14:paraId="442363F3" w14:textId="77777777" w:rsidR="000721BB" w:rsidRPr="000721BB" w:rsidRDefault="000721BB" w:rsidP="000721BB"/>
    <w:p w14:paraId="1CBE2E02" w14:textId="77777777" w:rsidR="000721BB" w:rsidRDefault="000721BB" w:rsidP="000721BB">
      <w:pPr>
        <w:spacing w:line="360" w:lineRule="auto"/>
      </w:pPr>
    </w:p>
    <w:p w14:paraId="46F7B634" w14:textId="77777777" w:rsidR="000721BB" w:rsidRPr="00542D1E" w:rsidRDefault="000721BB" w:rsidP="000721BB">
      <w:pPr>
        <w:spacing w:line="360" w:lineRule="auto"/>
        <w:rPr>
          <w:b/>
          <w:bCs/>
        </w:rPr>
      </w:pPr>
      <w:r w:rsidRPr="403CFE0B">
        <w:rPr>
          <w:b/>
          <w:bCs/>
        </w:rPr>
        <w:t>Specific responses</w:t>
      </w:r>
    </w:p>
    <w:p w14:paraId="2815BA90" w14:textId="77777777" w:rsidR="000721BB" w:rsidRPr="00542D1E" w:rsidRDefault="000721BB" w:rsidP="000721BB">
      <w:pPr>
        <w:spacing w:line="360" w:lineRule="auto"/>
      </w:pPr>
      <w:r>
        <w:t xml:space="preserve">Question 1:  </w:t>
      </w:r>
      <w:r w:rsidRPr="000721BB">
        <w:t xml:space="preserve">Do you have any comments, concerns or other feedback regarding the amendments to the FSS opinions on the five novel food applications? Please specify which opinion(s) you are commenting on. </w:t>
      </w:r>
    </w:p>
    <w:tbl>
      <w:tblPr>
        <w:tblStyle w:val="TableGrid"/>
        <w:tblW w:w="0" w:type="auto"/>
        <w:tblCellMar>
          <w:top w:w="57" w:type="dxa"/>
          <w:bottom w:w="57" w:type="dxa"/>
        </w:tblCellMar>
        <w:tblLook w:val="04A0" w:firstRow="1" w:lastRow="0" w:firstColumn="1" w:lastColumn="0" w:noHBand="0" w:noVBand="1"/>
      </w:tblPr>
      <w:tblGrid>
        <w:gridCol w:w="1821"/>
        <w:gridCol w:w="3532"/>
        <w:gridCol w:w="3663"/>
      </w:tblGrid>
      <w:tr w:rsidR="000721BB" w14:paraId="05D5D326" w14:textId="77777777" w:rsidTr="00951786">
        <w:trPr>
          <w:trHeight w:val="86"/>
          <w:tblHeader/>
        </w:trPr>
        <w:tc>
          <w:tcPr>
            <w:tcW w:w="2122" w:type="dxa"/>
            <w:shd w:val="clear" w:color="auto" w:fill="C9C9C9" w:themeFill="accent3" w:themeFillTint="99"/>
          </w:tcPr>
          <w:p w14:paraId="64A2FFB3" w14:textId="77777777" w:rsidR="000721BB" w:rsidRDefault="000721BB" w:rsidP="00951786">
            <w:pPr>
              <w:pStyle w:val="TableHeader"/>
              <w:spacing w:line="360" w:lineRule="auto"/>
              <w:jc w:val="left"/>
            </w:pPr>
            <w:r>
              <w:t>Respondent</w:t>
            </w:r>
          </w:p>
        </w:tc>
        <w:tc>
          <w:tcPr>
            <w:tcW w:w="5953" w:type="dxa"/>
            <w:shd w:val="clear" w:color="auto" w:fill="C9C9C9" w:themeFill="accent3" w:themeFillTint="99"/>
          </w:tcPr>
          <w:p w14:paraId="5C386A9D" w14:textId="77777777" w:rsidR="000721BB" w:rsidRDefault="000721BB" w:rsidP="00951786">
            <w:pPr>
              <w:pStyle w:val="TableHeader"/>
              <w:spacing w:line="360" w:lineRule="auto"/>
              <w:jc w:val="left"/>
            </w:pPr>
            <w:r>
              <w:t>Comment</w:t>
            </w:r>
          </w:p>
        </w:tc>
        <w:tc>
          <w:tcPr>
            <w:tcW w:w="6521" w:type="dxa"/>
            <w:shd w:val="clear" w:color="auto" w:fill="C9C9C9" w:themeFill="accent3" w:themeFillTint="99"/>
          </w:tcPr>
          <w:p w14:paraId="7B5EFB26" w14:textId="77777777" w:rsidR="000721BB" w:rsidRDefault="000721BB" w:rsidP="00951786">
            <w:pPr>
              <w:pStyle w:val="TableHeader"/>
              <w:spacing w:line="360" w:lineRule="auto"/>
              <w:jc w:val="left"/>
            </w:pPr>
            <w:r>
              <w:t>FSS Responses</w:t>
            </w:r>
          </w:p>
        </w:tc>
      </w:tr>
      <w:tr w:rsidR="000721BB" w14:paraId="7F1B8C36" w14:textId="77777777" w:rsidTr="00951786">
        <w:trPr>
          <w:trHeight w:val="86"/>
        </w:trPr>
        <w:tc>
          <w:tcPr>
            <w:tcW w:w="2122" w:type="dxa"/>
          </w:tcPr>
          <w:p w14:paraId="77121378" w14:textId="77777777" w:rsidR="000721BB" w:rsidRDefault="007702D1" w:rsidP="00951786">
            <w:pPr>
              <w:pStyle w:val="TableRow"/>
              <w:spacing w:line="360" w:lineRule="auto"/>
              <w:rPr>
                <w:lang w:eastAsia="en-US"/>
              </w:rPr>
            </w:pPr>
            <w:r>
              <w:rPr>
                <w:lang w:eastAsia="en-US"/>
              </w:rPr>
              <w:t>Anonymous</w:t>
            </w:r>
          </w:p>
        </w:tc>
        <w:tc>
          <w:tcPr>
            <w:tcW w:w="5953" w:type="dxa"/>
          </w:tcPr>
          <w:p w14:paraId="0B81EB6B" w14:textId="77777777" w:rsidR="000721BB" w:rsidRDefault="000721BB" w:rsidP="00951786">
            <w:pPr>
              <w:pStyle w:val="TableRow"/>
              <w:spacing w:line="360" w:lineRule="auto"/>
              <w:rPr>
                <w:lang w:eastAsia="en-US"/>
              </w:rPr>
            </w:pPr>
            <w:r w:rsidRPr="000721BB">
              <w:rPr>
                <w:lang w:eastAsia="en-US"/>
              </w:rPr>
              <w:t>In agreement that we should  make use of the EFSA risk assessment, where appropriate to make judgment on the safety of the products.</w:t>
            </w:r>
          </w:p>
        </w:tc>
        <w:tc>
          <w:tcPr>
            <w:tcW w:w="6521" w:type="dxa"/>
          </w:tcPr>
          <w:p w14:paraId="12310F10" w14:textId="77777777" w:rsidR="000721BB" w:rsidRPr="002D7DE8" w:rsidRDefault="000721BB" w:rsidP="00951786">
            <w:pPr>
              <w:pStyle w:val="TableRow"/>
              <w:spacing w:after="120" w:line="360" w:lineRule="auto"/>
              <w:rPr>
                <w:color w:val="000000" w:themeColor="text1"/>
              </w:rPr>
            </w:pPr>
            <w:r>
              <w:rPr>
                <w:color w:val="000000" w:themeColor="text1"/>
              </w:rPr>
              <w:t>Comments noted</w:t>
            </w:r>
            <w:r w:rsidR="007702D1">
              <w:rPr>
                <w:color w:val="000000" w:themeColor="text1"/>
              </w:rPr>
              <w:t>.</w:t>
            </w:r>
            <w:r w:rsidRPr="7081BB30">
              <w:rPr>
                <w:color w:val="000000" w:themeColor="text1"/>
              </w:rPr>
              <w:t xml:space="preserve"> </w:t>
            </w:r>
          </w:p>
        </w:tc>
      </w:tr>
      <w:tr w:rsidR="007702D1" w14:paraId="24153AE3" w14:textId="77777777" w:rsidTr="00951786">
        <w:trPr>
          <w:trHeight w:val="86"/>
        </w:trPr>
        <w:tc>
          <w:tcPr>
            <w:tcW w:w="2122" w:type="dxa"/>
          </w:tcPr>
          <w:p w14:paraId="5EDEE4AF" w14:textId="77777777" w:rsidR="007702D1" w:rsidDel="007702D1" w:rsidRDefault="007702D1">
            <w:pPr>
              <w:pStyle w:val="TableRow"/>
              <w:spacing w:line="360" w:lineRule="auto"/>
              <w:rPr>
                <w:lang w:eastAsia="en-US"/>
              </w:rPr>
            </w:pPr>
            <w:r>
              <w:rPr>
                <w:lang w:eastAsia="en-US"/>
              </w:rPr>
              <w:t>Anonymous</w:t>
            </w:r>
          </w:p>
        </w:tc>
        <w:tc>
          <w:tcPr>
            <w:tcW w:w="5953" w:type="dxa"/>
          </w:tcPr>
          <w:p w14:paraId="27F7EB29" w14:textId="77777777" w:rsidR="007702D1" w:rsidRPr="000721BB" w:rsidRDefault="0073420B">
            <w:pPr>
              <w:pStyle w:val="TableRow"/>
              <w:spacing w:line="360" w:lineRule="auto"/>
              <w:rPr>
                <w:lang w:eastAsia="en-US"/>
              </w:rPr>
            </w:pPr>
            <w:r>
              <w:t>Acknowledged</w:t>
            </w:r>
          </w:p>
        </w:tc>
        <w:tc>
          <w:tcPr>
            <w:tcW w:w="6521" w:type="dxa"/>
          </w:tcPr>
          <w:p w14:paraId="6D0558B6" w14:textId="77777777" w:rsidR="007702D1" w:rsidRDefault="007702D1">
            <w:pPr>
              <w:pStyle w:val="TableRow"/>
              <w:spacing w:after="120" w:line="360" w:lineRule="auto"/>
              <w:rPr>
                <w:color w:val="000000" w:themeColor="text1"/>
              </w:rPr>
            </w:pPr>
            <w:r>
              <w:rPr>
                <w:color w:val="000000" w:themeColor="text1"/>
              </w:rPr>
              <w:t>This question concerns novel food applications, but your comments are noted regarding the smoke flavouring transfers of authorisation holder.</w:t>
            </w:r>
          </w:p>
          <w:p w14:paraId="01292FA3" w14:textId="77777777" w:rsidR="007702D1" w:rsidRPr="0073420B" w:rsidRDefault="007702D1" w:rsidP="0073420B"/>
        </w:tc>
      </w:tr>
      <w:tr w:rsidR="007702D1" w14:paraId="1F9A6AC8" w14:textId="77777777" w:rsidTr="00951786">
        <w:trPr>
          <w:trHeight w:val="86"/>
        </w:trPr>
        <w:tc>
          <w:tcPr>
            <w:tcW w:w="2122" w:type="dxa"/>
          </w:tcPr>
          <w:p w14:paraId="5D80D28F" w14:textId="77777777" w:rsidR="007702D1" w:rsidRDefault="007702D1" w:rsidP="00951786">
            <w:pPr>
              <w:pStyle w:val="TableRow"/>
              <w:spacing w:line="360" w:lineRule="auto"/>
              <w:rPr>
                <w:lang w:eastAsia="en-US"/>
              </w:rPr>
            </w:pPr>
            <w:proofErr w:type="spellStart"/>
            <w:r w:rsidRPr="000721BB">
              <w:t>Kompozíció</w:t>
            </w:r>
            <w:proofErr w:type="spellEnd"/>
            <w:r w:rsidRPr="000721BB">
              <w:t xml:space="preserve"> </w:t>
            </w:r>
            <w:proofErr w:type="spellStart"/>
            <w:r w:rsidRPr="000721BB">
              <w:t>Kft</w:t>
            </w:r>
            <w:proofErr w:type="spellEnd"/>
            <w:r w:rsidRPr="000721BB">
              <w:t>.</w:t>
            </w:r>
          </w:p>
        </w:tc>
        <w:tc>
          <w:tcPr>
            <w:tcW w:w="5953" w:type="dxa"/>
          </w:tcPr>
          <w:p w14:paraId="321A90DA" w14:textId="77777777" w:rsidR="007702D1" w:rsidRPr="007702D1" w:rsidRDefault="007702D1" w:rsidP="00951786">
            <w:pPr>
              <w:pStyle w:val="TableRow"/>
              <w:spacing w:line="360" w:lineRule="auto"/>
              <w:rPr>
                <w:lang w:eastAsia="en-US"/>
              </w:rPr>
            </w:pPr>
            <w:r w:rsidRPr="007702D1">
              <w:rPr>
                <w:lang w:eastAsia="en-US"/>
              </w:rPr>
              <w:t>We accept these minor modifications regarding to the ownership of authorisations.</w:t>
            </w:r>
          </w:p>
        </w:tc>
        <w:tc>
          <w:tcPr>
            <w:tcW w:w="6521" w:type="dxa"/>
          </w:tcPr>
          <w:p w14:paraId="4033D5B6" w14:textId="77777777" w:rsidR="007702D1" w:rsidRDefault="007702D1" w:rsidP="00951786">
            <w:pPr>
              <w:pStyle w:val="TableRow"/>
              <w:spacing w:after="120" w:line="360" w:lineRule="auto"/>
              <w:rPr>
                <w:color w:val="000000" w:themeColor="text1"/>
              </w:rPr>
            </w:pPr>
            <w:r>
              <w:rPr>
                <w:color w:val="000000" w:themeColor="text1"/>
              </w:rPr>
              <w:t>This question concerns novel food applications, but your comments are noted regarding the smoke flavouring transfers of authorisation holder.</w:t>
            </w:r>
          </w:p>
        </w:tc>
      </w:tr>
    </w:tbl>
    <w:p w14:paraId="01FF2EF6" w14:textId="77777777" w:rsidR="000721BB" w:rsidRDefault="000721BB" w:rsidP="000721BB">
      <w:pPr>
        <w:spacing w:line="360" w:lineRule="auto"/>
      </w:pPr>
    </w:p>
    <w:p w14:paraId="35B93E9A" w14:textId="77777777" w:rsidR="000721BB" w:rsidRDefault="000721BB" w:rsidP="000721BB">
      <w:pPr>
        <w:spacing w:line="360" w:lineRule="auto"/>
      </w:pPr>
      <w:r>
        <w:t>Question 2:  Do you have any comments, concerns or any other feedback regarding the transfer of authorisation holder for the five smoke flavourings? Please specify which transfer(s) you are commenting on.</w:t>
      </w:r>
    </w:p>
    <w:p w14:paraId="1EA36C5F" w14:textId="77777777" w:rsidR="000721BB" w:rsidRPr="00542D1E" w:rsidRDefault="000721BB" w:rsidP="000721BB">
      <w:pPr>
        <w:spacing w:line="360" w:lineRule="auto"/>
      </w:pPr>
    </w:p>
    <w:tbl>
      <w:tblPr>
        <w:tblStyle w:val="TableGrid"/>
        <w:tblW w:w="0" w:type="auto"/>
        <w:tblCellMar>
          <w:top w:w="57" w:type="dxa"/>
          <w:bottom w:w="57" w:type="dxa"/>
        </w:tblCellMar>
        <w:tblLook w:val="04A0" w:firstRow="1" w:lastRow="0" w:firstColumn="1" w:lastColumn="0" w:noHBand="0" w:noVBand="1"/>
      </w:tblPr>
      <w:tblGrid>
        <w:gridCol w:w="1828"/>
        <w:gridCol w:w="3585"/>
        <w:gridCol w:w="3603"/>
      </w:tblGrid>
      <w:tr w:rsidR="000721BB" w14:paraId="014F7964" w14:textId="77777777" w:rsidTr="00951786">
        <w:trPr>
          <w:trHeight w:val="86"/>
        </w:trPr>
        <w:tc>
          <w:tcPr>
            <w:tcW w:w="2122" w:type="dxa"/>
            <w:shd w:val="clear" w:color="auto" w:fill="C9C9C9" w:themeFill="accent3" w:themeFillTint="99"/>
          </w:tcPr>
          <w:p w14:paraId="7E813B7E" w14:textId="77777777" w:rsidR="000721BB" w:rsidRDefault="000721BB" w:rsidP="00951786">
            <w:pPr>
              <w:pStyle w:val="TableHeader"/>
              <w:spacing w:line="360" w:lineRule="auto"/>
              <w:jc w:val="left"/>
            </w:pPr>
            <w:r>
              <w:lastRenderedPageBreak/>
              <w:t>Respondent</w:t>
            </w:r>
          </w:p>
        </w:tc>
        <w:tc>
          <w:tcPr>
            <w:tcW w:w="5953" w:type="dxa"/>
            <w:shd w:val="clear" w:color="auto" w:fill="C9C9C9" w:themeFill="accent3" w:themeFillTint="99"/>
          </w:tcPr>
          <w:p w14:paraId="3ED45FD0" w14:textId="77777777" w:rsidR="000721BB" w:rsidRDefault="000721BB" w:rsidP="00951786">
            <w:pPr>
              <w:pStyle w:val="TableHeader"/>
              <w:spacing w:line="360" w:lineRule="auto"/>
              <w:jc w:val="left"/>
            </w:pPr>
            <w:r>
              <w:t>Comment</w:t>
            </w:r>
          </w:p>
        </w:tc>
        <w:tc>
          <w:tcPr>
            <w:tcW w:w="6521" w:type="dxa"/>
            <w:shd w:val="clear" w:color="auto" w:fill="C9C9C9" w:themeFill="accent3" w:themeFillTint="99"/>
          </w:tcPr>
          <w:p w14:paraId="746C7EF5" w14:textId="77777777" w:rsidR="000721BB" w:rsidRDefault="000721BB" w:rsidP="00951786">
            <w:pPr>
              <w:pStyle w:val="TableHeader"/>
              <w:spacing w:line="360" w:lineRule="auto"/>
              <w:jc w:val="left"/>
            </w:pPr>
            <w:r>
              <w:t>FSS Response</w:t>
            </w:r>
          </w:p>
        </w:tc>
      </w:tr>
      <w:tr w:rsidR="000721BB" w14:paraId="04E07C07" w14:textId="77777777" w:rsidTr="00951786">
        <w:trPr>
          <w:trHeight w:val="86"/>
        </w:trPr>
        <w:tc>
          <w:tcPr>
            <w:tcW w:w="2122" w:type="dxa"/>
          </w:tcPr>
          <w:p w14:paraId="60F09285" w14:textId="77777777" w:rsidR="000721BB" w:rsidRPr="000721BB" w:rsidRDefault="000721BB" w:rsidP="0073420B">
            <w:pPr>
              <w:pStyle w:val="TableRow"/>
              <w:spacing w:line="360" w:lineRule="auto"/>
            </w:pPr>
            <w:proofErr w:type="spellStart"/>
            <w:r w:rsidRPr="000721BB">
              <w:t>K</w:t>
            </w:r>
            <w:r w:rsidR="0073420B">
              <w:t>ompozíció</w:t>
            </w:r>
            <w:proofErr w:type="spellEnd"/>
            <w:r w:rsidR="0073420B">
              <w:t xml:space="preserve"> </w:t>
            </w:r>
            <w:proofErr w:type="spellStart"/>
            <w:r w:rsidR="0073420B">
              <w:t>Kft</w:t>
            </w:r>
            <w:proofErr w:type="spellEnd"/>
            <w:r w:rsidR="0073420B">
              <w:t>.</w:t>
            </w:r>
          </w:p>
        </w:tc>
        <w:tc>
          <w:tcPr>
            <w:tcW w:w="5953" w:type="dxa"/>
          </w:tcPr>
          <w:p w14:paraId="0831E411" w14:textId="77777777" w:rsidR="000721BB" w:rsidRPr="00096E00" w:rsidRDefault="000721BB" w:rsidP="0073420B">
            <w:pPr>
              <w:spacing w:line="360" w:lineRule="auto"/>
              <w:rPr>
                <w:lang w:eastAsia="en-US"/>
              </w:rPr>
            </w:pPr>
            <w:r w:rsidRPr="000721BB">
              <w:rPr>
                <w:lang w:eastAsia="en-US"/>
              </w:rPr>
              <w:t>We accept these minor modifications regarding to the ownership of authorisations.</w:t>
            </w:r>
            <w:r w:rsidRPr="00096E00">
              <w:rPr>
                <w:lang w:eastAsia="en-US"/>
              </w:rPr>
              <w:t xml:space="preserve"> </w:t>
            </w:r>
          </w:p>
          <w:p w14:paraId="7D0726C1" w14:textId="77777777" w:rsidR="000721BB" w:rsidRPr="00096E00" w:rsidRDefault="000721BB" w:rsidP="00951786">
            <w:pPr>
              <w:spacing w:line="360" w:lineRule="auto"/>
              <w:jc w:val="both"/>
              <w:rPr>
                <w:lang w:eastAsia="en-US"/>
              </w:rPr>
            </w:pPr>
          </w:p>
        </w:tc>
        <w:tc>
          <w:tcPr>
            <w:tcW w:w="6521" w:type="dxa"/>
          </w:tcPr>
          <w:p w14:paraId="1666BE5D" w14:textId="77777777" w:rsidR="000721BB" w:rsidRDefault="000721BB" w:rsidP="00951786">
            <w:pPr>
              <w:shd w:val="clear" w:color="auto" w:fill="FFFFFF" w:themeFill="background1"/>
              <w:spacing w:before="40" w:after="120" w:line="360" w:lineRule="auto"/>
              <w:rPr>
                <w:lang w:eastAsia="en-US"/>
              </w:rPr>
            </w:pPr>
            <w:r>
              <w:rPr>
                <w:lang w:eastAsia="en-US"/>
              </w:rPr>
              <w:t>Comments noted.</w:t>
            </w:r>
          </w:p>
          <w:p w14:paraId="7EA1C02F" w14:textId="77777777" w:rsidR="000721BB" w:rsidRPr="00A74190" w:rsidRDefault="000721BB" w:rsidP="00951786">
            <w:pPr>
              <w:shd w:val="clear" w:color="auto" w:fill="FFFFFF" w:themeFill="background1"/>
              <w:spacing w:before="40" w:after="120" w:line="360" w:lineRule="auto"/>
              <w:rPr>
                <w:lang w:eastAsia="en-US"/>
              </w:rPr>
            </w:pPr>
            <w:r w:rsidRPr="00B83D81">
              <w:rPr>
                <w:lang w:eastAsia="en-US"/>
              </w:rPr>
              <w:t xml:space="preserve"> </w:t>
            </w:r>
          </w:p>
          <w:p w14:paraId="1E56D971" w14:textId="77777777" w:rsidR="000721BB" w:rsidRDefault="000721BB" w:rsidP="00951786">
            <w:pPr>
              <w:shd w:val="clear" w:color="auto" w:fill="FFFFFF" w:themeFill="background1"/>
              <w:spacing w:before="40" w:after="120" w:line="360" w:lineRule="auto"/>
              <w:rPr>
                <w:lang w:eastAsia="en-US"/>
              </w:rPr>
            </w:pPr>
          </w:p>
        </w:tc>
      </w:tr>
      <w:tr w:rsidR="000721BB" w14:paraId="35AB6F5F" w14:textId="77777777" w:rsidTr="00951786">
        <w:trPr>
          <w:trHeight w:val="86"/>
        </w:trPr>
        <w:tc>
          <w:tcPr>
            <w:tcW w:w="2122" w:type="dxa"/>
          </w:tcPr>
          <w:p w14:paraId="3302BFF5" w14:textId="77777777" w:rsidR="000721BB" w:rsidRPr="000721BB" w:rsidRDefault="000721BB" w:rsidP="00951786">
            <w:pPr>
              <w:pStyle w:val="TableRow"/>
              <w:spacing w:line="360" w:lineRule="auto"/>
              <w:rPr>
                <w:lang w:eastAsia="en-US"/>
              </w:rPr>
            </w:pPr>
            <w:r>
              <w:rPr>
                <w:lang w:eastAsia="en-US"/>
              </w:rPr>
              <w:t>Anonymous</w:t>
            </w:r>
          </w:p>
        </w:tc>
        <w:tc>
          <w:tcPr>
            <w:tcW w:w="5953" w:type="dxa"/>
          </w:tcPr>
          <w:p w14:paraId="0B8AE250" w14:textId="759D9D0D" w:rsidR="000721BB" w:rsidRPr="000721BB" w:rsidRDefault="000721BB" w:rsidP="0073420B">
            <w:pPr>
              <w:rPr>
                <w:rFonts w:cs="Arial"/>
                <w:szCs w:val="24"/>
              </w:rPr>
            </w:pPr>
            <w:r w:rsidRPr="000721BB">
              <w:rPr>
                <w:rFonts w:cs="Arial"/>
                <w:szCs w:val="24"/>
              </w:rPr>
              <w:t xml:space="preserve">Comment is given with respect to the transfer </w:t>
            </w:r>
            <w:r w:rsidR="00EA16C3">
              <w:rPr>
                <w:rFonts w:cs="Arial"/>
                <w:szCs w:val="24"/>
              </w:rPr>
              <w:t>from the current authorisation holder to the new authorisation holder</w:t>
            </w:r>
            <w:r>
              <w:rPr>
                <w:rFonts w:cs="Arial"/>
                <w:szCs w:val="24"/>
              </w:rPr>
              <w:t xml:space="preserve"> as </w:t>
            </w:r>
            <w:r w:rsidRPr="000721BB">
              <w:rPr>
                <w:rFonts w:cs="Arial"/>
                <w:szCs w:val="24"/>
              </w:rPr>
              <w:t>well as in general.</w:t>
            </w:r>
            <w:r w:rsidRPr="000721BB">
              <w:rPr>
                <w:rFonts w:cs="Arial"/>
                <w:szCs w:val="24"/>
              </w:rPr>
              <w:br/>
            </w:r>
            <w:r w:rsidRPr="000721BB">
              <w:rPr>
                <w:rFonts w:cs="Arial"/>
                <w:szCs w:val="24"/>
              </w:rPr>
              <w:br/>
              <w:t xml:space="preserve">The transfer of the </w:t>
            </w:r>
            <w:proofErr w:type="spellStart"/>
            <w:r w:rsidRPr="000721BB">
              <w:rPr>
                <w:rFonts w:cs="Arial"/>
                <w:szCs w:val="24"/>
              </w:rPr>
              <w:t>holdership</w:t>
            </w:r>
            <w:proofErr w:type="spellEnd"/>
            <w:r w:rsidRPr="000721BB">
              <w:rPr>
                <w:rFonts w:cs="Arial"/>
                <w:szCs w:val="24"/>
              </w:rPr>
              <w:t xml:space="preserve"> should happen sufficiently early enough before the 30 June 2022, so that the dossier for the re-authorization can be handed in by the new authorization holder.</w:t>
            </w:r>
          </w:p>
          <w:p w14:paraId="6A18D567" w14:textId="77777777" w:rsidR="000721BB" w:rsidRPr="000721BB" w:rsidRDefault="000721BB" w:rsidP="00951786">
            <w:pPr>
              <w:spacing w:line="360" w:lineRule="auto"/>
              <w:jc w:val="both"/>
            </w:pPr>
          </w:p>
        </w:tc>
        <w:tc>
          <w:tcPr>
            <w:tcW w:w="6521" w:type="dxa"/>
          </w:tcPr>
          <w:p w14:paraId="55BFAF0D" w14:textId="3686005A" w:rsidR="000721BB" w:rsidRDefault="000721BB" w:rsidP="00650198">
            <w:pPr>
              <w:shd w:val="clear" w:color="auto" w:fill="FFFFFF" w:themeFill="background1"/>
              <w:spacing w:before="40" w:after="120" w:line="360" w:lineRule="auto"/>
            </w:pPr>
            <w:r>
              <w:t>Comment noted</w:t>
            </w:r>
            <w:r w:rsidR="007702D1">
              <w:t xml:space="preserve">. </w:t>
            </w:r>
            <w:r w:rsidR="00650198">
              <w:t xml:space="preserve">We are currently planning for these </w:t>
            </w:r>
            <w:r w:rsidR="007702D1">
              <w:t xml:space="preserve">transfers </w:t>
            </w:r>
            <w:r w:rsidR="00650198">
              <w:t>to be</w:t>
            </w:r>
            <w:r w:rsidR="007702D1">
              <w:t xml:space="preserve"> complete before the 30</w:t>
            </w:r>
            <w:r w:rsidR="007702D1" w:rsidRPr="0073420B">
              <w:rPr>
                <w:vertAlign w:val="superscript"/>
              </w:rPr>
              <w:t>th</w:t>
            </w:r>
            <w:r w:rsidR="007702D1">
              <w:t xml:space="preserve"> of June 2022.</w:t>
            </w:r>
          </w:p>
        </w:tc>
      </w:tr>
      <w:tr w:rsidR="000721BB" w14:paraId="1541C632" w14:textId="77777777" w:rsidTr="00951786">
        <w:trPr>
          <w:trHeight w:val="86"/>
        </w:trPr>
        <w:tc>
          <w:tcPr>
            <w:tcW w:w="2122" w:type="dxa"/>
          </w:tcPr>
          <w:p w14:paraId="0CDC6DB3" w14:textId="77777777" w:rsidR="000721BB" w:rsidRPr="000721BB" w:rsidRDefault="000721BB" w:rsidP="00951786">
            <w:pPr>
              <w:pStyle w:val="TableRow"/>
              <w:spacing w:line="360" w:lineRule="auto"/>
              <w:rPr>
                <w:lang w:eastAsia="en-US"/>
              </w:rPr>
            </w:pPr>
            <w:r>
              <w:rPr>
                <w:lang w:eastAsia="en-US"/>
              </w:rPr>
              <w:t>Anonymous</w:t>
            </w:r>
          </w:p>
        </w:tc>
        <w:tc>
          <w:tcPr>
            <w:tcW w:w="5953" w:type="dxa"/>
          </w:tcPr>
          <w:p w14:paraId="7F692BDD" w14:textId="77777777" w:rsidR="000721BB" w:rsidRPr="000721BB" w:rsidRDefault="000721BB" w:rsidP="00951786">
            <w:pPr>
              <w:spacing w:line="360" w:lineRule="auto"/>
              <w:jc w:val="both"/>
            </w:pPr>
            <w:r>
              <w:t>Acknowledged</w:t>
            </w:r>
          </w:p>
        </w:tc>
        <w:tc>
          <w:tcPr>
            <w:tcW w:w="6521" w:type="dxa"/>
          </w:tcPr>
          <w:p w14:paraId="00C4B433" w14:textId="77777777" w:rsidR="000721BB" w:rsidRDefault="000721BB" w:rsidP="00951786">
            <w:pPr>
              <w:shd w:val="clear" w:color="auto" w:fill="FFFFFF" w:themeFill="background1"/>
              <w:spacing w:before="40" w:after="120" w:line="360" w:lineRule="auto"/>
            </w:pPr>
            <w:r>
              <w:t>Comments noted.</w:t>
            </w:r>
          </w:p>
        </w:tc>
      </w:tr>
    </w:tbl>
    <w:p w14:paraId="175D3273" w14:textId="77777777" w:rsidR="000721BB" w:rsidRDefault="000721BB" w:rsidP="000721BB">
      <w:pPr>
        <w:spacing w:line="360" w:lineRule="auto"/>
      </w:pPr>
    </w:p>
    <w:p w14:paraId="6D65334A" w14:textId="77777777" w:rsidR="000721BB" w:rsidRDefault="000721BB" w:rsidP="000721BB">
      <w:pPr>
        <w:spacing w:line="360" w:lineRule="auto"/>
      </w:pPr>
    </w:p>
    <w:p w14:paraId="5E6D8758" w14:textId="77777777" w:rsidR="000721BB" w:rsidRDefault="000721BB" w:rsidP="000721BB">
      <w:pPr>
        <w:spacing w:line="360" w:lineRule="auto"/>
      </w:pPr>
      <w:r>
        <w:t>Question 3:  Do you have any other feedback?</w:t>
      </w:r>
    </w:p>
    <w:tbl>
      <w:tblPr>
        <w:tblStyle w:val="TableGrid"/>
        <w:tblW w:w="0" w:type="auto"/>
        <w:tblCellMar>
          <w:top w:w="57" w:type="dxa"/>
          <w:bottom w:w="57" w:type="dxa"/>
        </w:tblCellMar>
        <w:tblLook w:val="04A0" w:firstRow="1" w:lastRow="0" w:firstColumn="1" w:lastColumn="0" w:noHBand="0" w:noVBand="1"/>
      </w:tblPr>
      <w:tblGrid>
        <w:gridCol w:w="1827"/>
        <w:gridCol w:w="3585"/>
        <w:gridCol w:w="3604"/>
      </w:tblGrid>
      <w:tr w:rsidR="007702D1" w14:paraId="16240C46" w14:textId="77777777" w:rsidTr="00B43426">
        <w:trPr>
          <w:trHeight w:val="86"/>
        </w:trPr>
        <w:tc>
          <w:tcPr>
            <w:tcW w:w="2122" w:type="dxa"/>
            <w:shd w:val="clear" w:color="auto" w:fill="C9C9C9" w:themeFill="accent3" w:themeFillTint="99"/>
          </w:tcPr>
          <w:p w14:paraId="2AEE1AF4" w14:textId="77777777" w:rsidR="007702D1" w:rsidRDefault="007702D1" w:rsidP="00B43426">
            <w:pPr>
              <w:pStyle w:val="TableHeader"/>
              <w:spacing w:line="360" w:lineRule="auto"/>
              <w:jc w:val="left"/>
            </w:pPr>
            <w:r>
              <w:t>Respondent</w:t>
            </w:r>
          </w:p>
        </w:tc>
        <w:tc>
          <w:tcPr>
            <w:tcW w:w="5953" w:type="dxa"/>
            <w:shd w:val="clear" w:color="auto" w:fill="C9C9C9" w:themeFill="accent3" w:themeFillTint="99"/>
          </w:tcPr>
          <w:p w14:paraId="0B8CD045" w14:textId="77777777" w:rsidR="007702D1" w:rsidRDefault="007702D1" w:rsidP="00B43426">
            <w:pPr>
              <w:pStyle w:val="TableHeader"/>
              <w:spacing w:line="360" w:lineRule="auto"/>
              <w:jc w:val="left"/>
            </w:pPr>
            <w:r>
              <w:t>Comment</w:t>
            </w:r>
          </w:p>
        </w:tc>
        <w:tc>
          <w:tcPr>
            <w:tcW w:w="6521" w:type="dxa"/>
            <w:shd w:val="clear" w:color="auto" w:fill="C9C9C9" w:themeFill="accent3" w:themeFillTint="99"/>
          </w:tcPr>
          <w:p w14:paraId="341EA170" w14:textId="77777777" w:rsidR="007702D1" w:rsidRDefault="007702D1" w:rsidP="00B43426">
            <w:pPr>
              <w:pStyle w:val="TableHeader"/>
              <w:spacing w:line="360" w:lineRule="auto"/>
              <w:jc w:val="left"/>
            </w:pPr>
            <w:r>
              <w:t>FSS Response</w:t>
            </w:r>
          </w:p>
        </w:tc>
      </w:tr>
      <w:tr w:rsidR="007702D1" w14:paraId="71692714" w14:textId="77777777" w:rsidTr="0073420B">
        <w:trPr>
          <w:trHeight w:val="86"/>
        </w:trPr>
        <w:tc>
          <w:tcPr>
            <w:tcW w:w="2122" w:type="dxa"/>
            <w:shd w:val="clear" w:color="auto" w:fill="auto"/>
          </w:tcPr>
          <w:p w14:paraId="7FF790F3" w14:textId="77777777" w:rsidR="007702D1" w:rsidRDefault="007702D1">
            <w:pPr>
              <w:pStyle w:val="TableHeader"/>
              <w:spacing w:line="360" w:lineRule="auto"/>
              <w:jc w:val="left"/>
            </w:pPr>
            <w:proofErr w:type="spellStart"/>
            <w:r w:rsidRPr="0073420B">
              <w:rPr>
                <w:b w:val="0"/>
              </w:rPr>
              <w:t>Kompozíció</w:t>
            </w:r>
            <w:proofErr w:type="spellEnd"/>
            <w:r w:rsidRPr="0073420B">
              <w:rPr>
                <w:b w:val="0"/>
              </w:rPr>
              <w:t xml:space="preserve"> </w:t>
            </w:r>
            <w:proofErr w:type="spellStart"/>
            <w:r w:rsidRPr="0073420B">
              <w:rPr>
                <w:b w:val="0"/>
              </w:rPr>
              <w:t>Kft</w:t>
            </w:r>
            <w:proofErr w:type="spellEnd"/>
            <w:r w:rsidRPr="0073420B">
              <w:rPr>
                <w:b w:val="0"/>
              </w:rPr>
              <w:t>.</w:t>
            </w:r>
          </w:p>
        </w:tc>
        <w:tc>
          <w:tcPr>
            <w:tcW w:w="5953" w:type="dxa"/>
            <w:shd w:val="clear" w:color="auto" w:fill="auto"/>
          </w:tcPr>
          <w:p w14:paraId="5780AAF8" w14:textId="77777777" w:rsidR="007702D1" w:rsidRDefault="007702D1" w:rsidP="0073420B">
            <w:pPr>
              <w:spacing w:line="360" w:lineRule="auto"/>
            </w:pPr>
            <w:r w:rsidRPr="000721BB">
              <w:rPr>
                <w:lang w:eastAsia="en-US"/>
              </w:rPr>
              <w:t>We accept these minor modifications regarding to the ownership of authorisations.</w:t>
            </w:r>
          </w:p>
        </w:tc>
        <w:tc>
          <w:tcPr>
            <w:tcW w:w="6521" w:type="dxa"/>
            <w:shd w:val="clear" w:color="auto" w:fill="auto"/>
          </w:tcPr>
          <w:p w14:paraId="7E2BCD1F" w14:textId="77777777" w:rsidR="007702D1" w:rsidRPr="0073420B" w:rsidRDefault="007702D1" w:rsidP="00B43426">
            <w:pPr>
              <w:pStyle w:val="TableHeader"/>
              <w:spacing w:line="360" w:lineRule="auto"/>
              <w:jc w:val="left"/>
              <w:rPr>
                <w:b w:val="0"/>
              </w:rPr>
            </w:pPr>
            <w:r w:rsidRPr="0073420B">
              <w:rPr>
                <w:b w:val="0"/>
              </w:rPr>
              <w:t>Comments noted.</w:t>
            </w:r>
          </w:p>
        </w:tc>
      </w:tr>
    </w:tbl>
    <w:p w14:paraId="6A0D1E2D" w14:textId="77777777" w:rsidR="000721BB" w:rsidRDefault="000721BB" w:rsidP="000721BB">
      <w:pPr>
        <w:spacing w:line="360" w:lineRule="auto"/>
        <w:ind w:firstLine="720"/>
      </w:pPr>
    </w:p>
    <w:p w14:paraId="144BA48E" w14:textId="77777777" w:rsidR="000721BB" w:rsidRDefault="000721BB" w:rsidP="000721BB">
      <w:pPr>
        <w:spacing w:line="360" w:lineRule="auto"/>
        <w:rPr>
          <w:b/>
          <w:color w:val="5B9BD5" w:themeColor="accent1"/>
          <w:sz w:val="36"/>
          <w:szCs w:val="36"/>
        </w:rPr>
      </w:pPr>
      <w:r w:rsidRPr="000721BB">
        <w:rPr>
          <w:b/>
          <w:color w:val="5B9BD5" w:themeColor="accent1"/>
          <w:sz w:val="36"/>
          <w:szCs w:val="36"/>
        </w:rPr>
        <w:t>Next Steps</w:t>
      </w:r>
    </w:p>
    <w:p w14:paraId="34F486E5" w14:textId="01F4579C" w:rsidR="000721BB" w:rsidRDefault="000721BB" w:rsidP="000721BB">
      <w:pPr>
        <w:pStyle w:val="ListParagraph"/>
        <w:numPr>
          <w:ilvl w:val="0"/>
          <w:numId w:val="13"/>
        </w:numPr>
        <w:spacing w:line="360" w:lineRule="auto"/>
        <w:rPr>
          <w:b/>
          <w:color w:val="5B9BD5" w:themeColor="accent1"/>
          <w:sz w:val="36"/>
          <w:szCs w:val="36"/>
        </w:rPr>
      </w:pPr>
      <w:r w:rsidRPr="000721BB">
        <w:rPr>
          <w:rFonts w:cs="Arial"/>
        </w:rPr>
        <w:t xml:space="preserve">The next step of the authorisation process is for relevant Ministers in </w:t>
      </w:r>
      <w:r w:rsidR="007702D1">
        <w:rPr>
          <w:rFonts w:cs="Arial"/>
        </w:rPr>
        <w:t xml:space="preserve">Scotland, </w:t>
      </w:r>
      <w:r w:rsidRPr="000721BB">
        <w:rPr>
          <w:rFonts w:cs="Arial"/>
        </w:rPr>
        <w:t>England</w:t>
      </w:r>
      <w:r w:rsidR="007702D1">
        <w:rPr>
          <w:rFonts w:cs="Arial"/>
        </w:rPr>
        <w:t xml:space="preserve"> and</w:t>
      </w:r>
      <w:r w:rsidRPr="000721BB">
        <w:rPr>
          <w:rFonts w:cs="Arial"/>
        </w:rPr>
        <w:t xml:space="preserve"> Wales to make decisions on the authorisation of the</w:t>
      </w:r>
      <w:r w:rsidR="003D3430">
        <w:rPr>
          <w:rFonts w:cs="Arial"/>
        </w:rPr>
        <w:t xml:space="preserve"> </w:t>
      </w:r>
      <w:r w:rsidRPr="000721BB">
        <w:rPr>
          <w:rFonts w:cs="Arial"/>
        </w:rPr>
        <w:t>novel foods.</w:t>
      </w:r>
    </w:p>
    <w:p w14:paraId="23E7D895" w14:textId="77777777" w:rsidR="000721BB" w:rsidRDefault="000721BB" w:rsidP="000721BB">
      <w:pPr>
        <w:pStyle w:val="ListParagraph"/>
        <w:numPr>
          <w:ilvl w:val="0"/>
          <w:numId w:val="13"/>
        </w:numPr>
        <w:spacing w:line="360" w:lineRule="auto"/>
        <w:rPr>
          <w:b/>
          <w:color w:val="5B9BD5" w:themeColor="accent1"/>
          <w:sz w:val="36"/>
          <w:szCs w:val="36"/>
        </w:rPr>
      </w:pPr>
      <w:r w:rsidRPr="000721BB">
        <w:rPr>
          <w:rStyle w:val="normaltextrun"/>
          <w:rFonts w:cs="Arial"/>
          <w:color w:val="auto"/>
        </w:rPr>
        <w:lastRenderedPageBreak/>
        <w:t>The FSS/FSA risk assessment opinions on these applications concluded that the products are safe to be authorised based on the proposed terms of authorisation.  No reasons to change the advice that these novel foods should be authorised have been identified during the consultation process.  On that basis, the final advice to respective Ministers will be to authorise these novel foods on the proposed terms of authorisation</w:t>
      </w:r>
      <w:r w:rsidRPr="000721BB">
        <w:rPr>
          <w:rStyle w:val="normaltextrun"/>
          <w:rFonts w:cs="Arial"/>
          <w:color w:val="FF0000"/>
        </w:rPr>
        <w:t>.</w:t>
      </w:r>
    </w:p>
    <w:p w14:paraId="106C9A5B" w14:textId="77777777" w:rsidR="000721BB" w:rsidRDefault="000721BB" w:rsidP="000721BB">
      <w:pPr>
        <w:pStyle w:val="ListParagraph"/>
        <w:numPr>
          <w:ilvl w:val="0"/>
          <w:numId w:val="13"/>
        </w:numPr>
        <w:spacing w:line="360" w:lineRule="auto"/>
        <w:rPr>
          <w:b/>
          <w:color w:val="5B9BD5" w:themeColor="accent1"/>
          <w:sz w:val="36"/>
          <w:szCs w:val="36"/>
        </w:rPr>
      </w:pPr>
      <w:r w:rsidRPr="000721BB">
        <w:rPr>
          <w:rFonts w:cs="Arial"/>
          <w:color w:val="auto"/>
        </w:rPr>
        <w:t>Should Ministers move to authorise, a Scottish Statutory Instrument will be prepared in Scotland, while a Statutory Instrument is prepared in England and Wales.</w:t>
      </w:r>
    </w:p>
    <w:p w14:paraId="316A60D0" w14:textId="77777777" w:rsidR="000721BB" w:rsidRPr="000721BB" w:rsidRDefault="000721BB" w:rsidP="000721BB">
      <w:pPr>
        <w:pStyle w:val="ListParagraph"/>
        <w:numPr>
          <w:ilvl w:val="0"/>
          <w:numId w:val="13"/>
        </w:numPr>
        <w:spacing w:line="360" w:lineRule="auto"/>
        <w:rPr>
          <w:b/>
          <w:color w:val="5B9BD5" w:themeColor="accent1"/>
          <w:sz w:val="36"/>
          <w:szCs w:val="36"/>
        </w:rPr>
      </w:pPr>
      <w:r w:rsidRPr="000721BB">
        <w:rPr>
          <w:rFonts w:cs="Arial"/>
          <w:color w:val="auto"/>
        </w:rPr>
        <w:t>Regulations in Northern Ireland will not be amended as the novel foods are already authorised for use in Northern Ireland, in line with EU legislation that applies in Northern Ireland, under the Northern Ireland Protocol.</w:t>
      </w:r>
    </w:p>
    <w:p w14:paraId="5910D78A" w14:textId="77777777" w:rsidR="000721BB" w:rsidRDefault="000721BB" w:rsidP="000721BB">
      <w:pPr>
        <w:pStyle w:val="ListParagraph"/>
        <w:numPr>
          <w:ilvl w:val="0"/>
          <w:numId w:val="0"/>
        </w:numPr>
        <w:spacing w:line="360" w:lineRule="auto"/>
        <w:ind w:left="1440"/>
        <w:rPr>
          <w:rFonts w:cs="Arial"/>
          <w:color w:val="auto"/>
        </w:rPr>
      </w:pPr>
    </w:p>
    <w:p w14:paraId="7629AA03" w14:textId="77777777" w:rsidR="007702D1" w:rsidRPr="000721BB" w:rsidRDefault="000721BB" w:rsidP="000721BB">
      <w:pPr>
        <w:pStyle w:val="ListParagraph"/>
        <w:numPr>
          <w:ilvl w:val="0"/>
          <w:numId w:val="0"/>
        </w:numPr>
        <w:spacing w:line="360" w:lineRule="auto"/>
        <w:ind w:left="-142" w:firstLine="142"/>
        <w:rPr>
          <w:b/>
          <w:color w:val="5B9BD5" w:themeColor="accent1"/>
          <w:sz w:val="36"/>
          <w:szCs w:val="36"/>
        </w:rPr>
      </w:pPr>
      <w:r w:rsidRPr="000721BB">
        <w:rPr>
          <w:rFonts w:cs="Arial"/>
          <w:b/>
          <w:color w:val="5B9BD5" w:themeColor="accent1"/>
          <w:sz w:val="36"/>
          <w:szCs w:val="36"/>
        </w:rPr>
        <w:t>List of Respondents</w:t>
      </w:r>
    </w:p>
    <w:p w14:paraId="376C2FF9" w14:textId="77777777" w:rsidR="000721BB" w:rsidRPr="004A2D83" w:rsidRDefault="000721BB" w:rsidP="0073420B">
      <w:pPr>
        <w:pStyle w:val="ListParagraph"/>
        <w:numPr>
          <w:ilvl w:val="0"/>
          <w:numId w:val="0"/>
        </w:numPr>
        <w:spacing w:line="360" w:lineRule="auto"/>
        <w:ind w:left="-142" w:firstLine="142"/>
      </w:pPr>
      <w:r>
        <w:t>This list does not include those respondents who asked for their response to be kept</w:t>
      </w:r>
      <w:r w:rsidR="007702D1">
        <w:t xml:space="preserve"> </w:t>
      </w:r>
      <w:r w:rsidRPr="004A2D83">
        <w:t>confidential or responses from individuals.</w:t>
      </w:r>
    </w:p>
    <w:p w14:paraId="4C79391A" w14:textId="77777777" w:rsidR="000721BB" w:rsidRPr="000F484D" w:rsidRDefault="000721BB" w:rsidP="0073420B">
      <w:pPr>
        <w:pStyle w:val="ListParagraph"/>
        <w:numPr>
          <w:ilvl w:val="0"/>
          <w:numId w:val="11"/>
        </w:numPr>
        <w:shd w:val="clear" w:color="auto" w:fill="FFFFFF" w:themeFill="background1"/>
        <w:spacing w:before="300" w:after="300" w:line="360" w:lineRule="auto"/>
      </w:pPr>
      <w:proofErr w:type="spellStart"/>
      <w:r w:rsidRPr="000721BB">
        <w:t>Kompozíció</w:t>
      </w:r>
      <w:proofErr w:type="spellEnd"/>
      <w:r w:rsidRPr="000721BB">
        <w:t xml:space="preserve"> </w:t>
      </w:r>
      <w:proofErr w:type="spellStart"/>
      <w:r w:rsidRPr="000721BB">
        <w:t>Kft</w:t>
      </w:r>
      <w:proofErr w:type="spellEnd"/>
      <w:r w:rsidRPr="000721BB">
        <w:t>.</w:t>
      </w:r>
    </w:p>
    <w:p w14:paraId="61906586" w14:textId="77777777" w:rsidR="000721BB" w:rsidRPr="009B7615" w:rsidRDefault="000721BB" w:rsidP="00B561C0"/>
    <w:sectPr w:rsidR="000721BB" w:rsidRPr="009B7615" w:rsidSect="00B561C0">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80D46" w14:textId="77777777" w:rsidR="00DE240E" w:rsidRDefault="00DE240E">
      <w:r>
        <w:separator/>
      </w:r>
    </w:p>
  </w:endnote>
  <w:endnote w:type="continuationSeparator" w:id="0">
    <w:p w14:paraId="719CFAB1" w14:textId="77777777" w:rsidR="00DE240E" w:rsidRDefault="00DE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362618"/>
      <w:docPartObj>
        <w:docPartGallery w:val="Page Numbers (Bottom of Page)"/>
        <w:docPartUnique/>
      </w:docPartObj>
    </w:sdtPr>
    <w:sdtEndPr>
      <w:rPr>
        <w:noProof/>
      </w:rPr>
    </w:sdtEndPr>
    <w:sdtContent>
      <w:p w14:paraId="6A8F1DAB" w14:textId="010780DE" w:rsidR="006045AD" w:rsidRDefault="000721BB" w:rsidP="00755882">
        <w:pPr>
          <w:pStyle w:val="Footer"/>
          <w:spacing w:before="240"/>
          <w:jc w:val="center"/>
        </w:pPr>
        <w:r>
          <w:fldChar w:fldCharType="begin"/>
        </w:r>
        <w:r>
          <w:instrText xml:space="preserve"> PAGE   \* MERGEFORMAT </w:instrText>
        </w:r>
        <w:r>
          <w:fldChar w:fldCharType="separate"/>
        </w:r>
        <w:r w:rsidR="003D343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86219" w14:textId="77777777" w:rsidR="00DE240E" w:rsidRDefault="00DE240E">
      <w:r>
        <w:separator/>
      </w:r>
    </w:p>
  </w:footnote>
  <w:footnote w:type="continuationSeparator" w:id="0">
    <w:p w14:paraId="4EF48D40" w14:textId="77777777" w:rsidR="00DE240E" w:rsidRDefault="00DE2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3CC6170"/>
    <w:multiLevelType w:val="hybridMultilevel"/>
    <w:tmpl w:val="960A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491450"/>
    <w:multiLevelType w:val="hybridMultilevel"/>
    <w:tmpl w:val="E27EA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D846F7"/>
    <w:multiLevelType w:val="hybridMultilevel"/>
    <w:tmpl w:val="27D0B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767606"/>
    <w:multiLevelType w:val="hybridMultilevel"/>
    <w:tmpl w:val="116479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79C431A9"/>
    <w:multiLevelType w:val="hybridMultilevel"/>
    <w:tmpl w:val="AC7CA296"/>
    <w:lvl w:ilvl="0" w:tplc="E67CA598">
      <w:start w:val="1"/>
      <w:numFmt w:val="decimal"/>
      <w:pStyle w:val="NewText"/>
      <w:lvlText w:val="%1."/>
      <w:lvlJc w:val="left"/>
      <w:pPr>
        <w:ind w:left="717"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1"/>
  </w:num>
  <w:num w:numId="4">
    <w:abstractNumId w:val="1"/>
  </w:num>
  <w:num w:numId="5">
    <w:abstractNumId w:val="7"/>
  </w:num>
  <w:num w:numId="6">
    <w:abstractNumId w:val="1"/>
  </w:num>
  <w:num w:numId="7">
    <w:abstractNumId w:val="3"/>
  </w:num>
  <w:num w:numId="8">
    <w:abstractNumId w:val="5"/>
  </w:num>
  <w:num w:numId="9">
    <w:abstractNumId w:val="8"/>
  </w:num>
  <w:num w:numId="10">
    <w:abstractNumId w:val="0"/>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BB"/>
    <w:rsid w:val="00027C27"/>
    <w:rsid w:val="000721BB"/>
    <w:rsid w:val="000C0CF4"/>
    <w:rsid w:val="00281579"/>
    <w:rsid w:val="00306C61"/>
    <w:rsid w:val="0037582B"/>
    <w:rsid w:val="003D3430"/>
    <w:rsid w:val="0058698F"/>
    <w:rsid w:val="00650198"/>
    <w:rsid w:val="007064CF"/>
    <w:rsid w:val="0073420B"/>
    <w:rsid w:val="007500C0"/>
    <w:rsid w:val="007702D1"/>
    <w:rsid w:val="00857548"/>
    <w:rsid w:val="00872CC0"/>
    <w:rsid w:val="008E42A4"/>
    <w:rsid w:val="008F67BF"/>
    <w:rsid w:val="009B7615"/>
    <w:rsid w:val="009C19E0"/>
    <w:rsid w:val="00A54203"/>
    <w:rsid w:val="00A72F51"/>
    <w:rsid w:val="00B51BDC"/>
    <w:rsid w:val="00B561C0"/>
    <w:rsid w:val="00B56AFC"/>
    <w:rsid w:val="00B773CE"/>
    <w:rsid w:val="00BD4403"/>
    <w:rsid w:val="00C53457"/>
    <w:rsid w:val="00C91823"/>
    <w:rsid w:val="00D008AB"/>
    <w:rsid w:val="00DE240E"/>
    <w:rsid w:val="00EA16C3"/>
    <w:rsid w:val="00EB5179"/>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4485"/>
  <w15:chartTrackingRefBased/>
  <w15:docId w15:val="{F5DCC549-7C50-4105-938D-1DBC5E00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uiPriority w:val="99"/>
    <w:unhideWhenUsed/>
    <w:qFormat/>
    <w:rsid w:val="000721BB"/>
    <w:rPr>
      <w:color w:val="0000FF"/>
      <w:u w:val="single"/>
    </w:rPr>
  </w:style>
  <w:style w:type="paragraph" w:styleId="ListParagraph">
    <w:name w:val="List Paragraph"/>
    <w:basedOn w:val="Normal"/>
    <w:uiPriority w:val="34"/>
    <w:qFormat/>
    <w:rsid w:val="000721BB"/>
    <w:pPr>
      <w:numPr>
        <w:ilvl w:val="1"/>
        <w:numId w:val="7"/>
      </w:numPr>
      <w:spacing w:after="120" w:line="288" w:lineRule="auto"/>
    </w:pPr>
    <w:rPr>
      <w:color w:val="000000" w:themeColor="text1"/>
      <w:szCs w:val="24"/>
      <w:lang w:eastAsia="en-GB"/>
    </w:rPr>
  </w:style>
  <w:style w:type="character" w:customStyle="1" w:styleId="normaltextrun">
    <w:name w:val="normaltextrun"/>
    <w:basedOn w:val="DefaultParagraphFont"/>
    <w:rsid w:val="000721BB"/>
  </w:style>
  <w:style w:type="character" w:customStyle="1" w:styleId="eop">
    <w:name w:val="eop"/>
    <w:basedOn w:val="DefaultParagraphFont"/>
    <w:rsid w:val="000721BB"/>
  </w:style>
  <w:style w:type="paragraph" w:customStyle="1" w:styleId="NewText">
    <w:name w:val="New Text"/>
    <w:basedOn w:val="Normal"/>
    <w:next w:val="Normal"/>
    <w:qFormat/>
    <w:rsid w:val="000721BB"/>
    <w:pPr>
      <w:numPr>
        <w:numId w:val="9"/>
      </w:numPr>
      <w:spacing w:before="240" w:after="240" w:line="259" w:lineRule="auto"/>
      <w:ind w:left="567" w:hanging="567"/>
      <w:jc w:val="both"/>
    </w:pPr>
    <w:rPr>
      <w:rFonts w:eastAsiaTheme="minorHAnsi" w:cs="Arial"/>
      <w:szCs w:val="22"/>
    </w:rPr>
  </w:style>
  <w:style w:type="paragraph" w:styleId="ListBullet5">
    <w:name w:val="List Bullet 5"/>
    <w:basedOn w:val="Normal"/>
    <w:rsid w:val="000721BB"/>
    <w:pPr>
      <w:numPr>
        <w:numId w:val="10"/>
      </w:numPr>
      <w:spacing w:after="240" w:line="288" w:lineRule="auto"/>
      <w:contextualSpacing/>
    </w:pPr>
    <w:rPr>
      <w:szCs w:val="24"/>
      <w:lang w:eastAsia="en-GB"/>
    </w:rPr>
  </w:style>
  <w:style w:type="table" w:styleId="TableGrid">
    <w:name w:val="Table Grid"/>
    <w:basedOn w:val="TableNormal"/>
    <w:rsid w:val="000721BB"/>
    <w:rPr>
      <w:rFonts w:ascii="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0721BB"/>
    <w:pPr>
      <w:spacing w:before="100" w:after="100" w:line="288" w:lineRule="auto"/>
      <w:jc w:val="center"/>
    </w:pPr>
    <w:rPr>
      <w:b/>
      <w:szCs w:val="24"/>
      <w:lang w:eastAsia="en-GB"/>
    </w:rPr>
  </w:style>
  <w:style w:type="paragraph" w:customStyle="1" w:styleId="TableRow">
    <w:name w:val="TableRow"/>
    <w:basedOn w:val="Normal"/>
    <w:link w:val="TableRowChar"/>
    <w:qFormat/>
    <w:rsid w:val="000721BB"/>
    <w:pPr>
      <w:spacing w:before="40" w:after="40" w:line="288" w:lineRule="auto"/>
    </w:pPr>
    <w:rPr>
      <w:szCs w:val="24"/>
      <w:lang w:eastAsia="en-GB"/>
    </w:rPr>
  </w:style>
  <w:style w:type="character" w:customStyle="1" w:styleId="TableRowChar">
    <w:name w:val="TableRow Char"/>
    <w:link w:val="TableRow"/>
    <w:rsid w:val="000721BB"/>
    <w:rPr>
      <w:rFonts w:ascii="Arial" w:hAnsi="Arial" w:cs="Times New Roman"/>
      <w:sz w:val="24"/>
      <w:szCs w:val="24"/>
      <w:lang w:eastAsia="en-GB"/>
    </w:rPr>
  </w:style>
  <w:style w:type="character" w:styleId="CommentReference">
    <w:name w:val="annotation reference"/>
    <w:basedOn w:val="DefaultParagraphFont"/>
    <w:uiPriority w:val="99"/>
    <w:unhideWhenUsed/>
    <w:rsid w:val="000721BB"/>
    <w:rPr>
      <w:sz w:val="16"/>
      <w:szCs w:val="16"/>
    </w:rPr>
  </w:style>
  <w:style w:type="paragraph" w:styleId="CommentText">
    <w:name w:val="annotation text"/>
    <w:basedOn w:val="Normal"/>
    <w:link w:val="CommentTextChar"/>
    <w:uiPriority w:val="99"/>
    <w:unhideWhenUsed/>
    <w:rsid w:val="000721BB"/>
    <w:pPr>
      <w:spacing w:after="240"/>
    </w:pPr>
    <w:rPr>
      <w:sz w:val="20"/>
      <w:lang w:eastAsia="en-GB"/>
    </w:rPr>
  </w:style>
  <w:style w:type="character" w:customStyle="1" w:styleId="CommentTextChar">
    <w:name w:val="Comment Text Char"/>
    <w:basedOn w:val="DefaultParagraphFont"/>
    <w:link w:val="CommentText"/>
    <w:uiPriority w:val="99"/>
    <w:rsid w:val="000721BB"/>
    <w:rPr>
      <w:rFonts w:ascii="Arial" w:hAnsi="Arial" w:cs="Times New Roman"/>
      <w:sz w:val="20"/>
      <w:szCs w:val="20"/>
      <w:lang w:eastAsia="en-GB"/>
    </w:rPr>
  </w:style>
  <w:style w:type="paragraph" w:styleId="BalloonText">
    <w:name w:val="Balloon Text"/>
    <w:basedOn w:val="Normal"/>
    <w:link w:val="BalloonTextChar"/>
    <w:uiPriority w:val="99"/>
    <w:semiHidden/>
    <w:unhideWhenUsed/>
    <w:rsid w:val="000721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1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702D1"/>
    <w:pPr>
      <w:spacing w:after="0"/>
    </w:pPr>
    <w:rPr>
      <w:b/>
      <w:bCs/>
      <w:lang w:eastAsia="en-US"/>
    </w:rPr>
  </w:style>
  <w:style w:type="character" w:customStyle="1" w:styleId="CommentSubjectChar">
    <w:name w:val="Comment Subject Char"/>
    <w:basedOn w:val="CommentTextChar"/>
    <w:link w:val="CommentSubject"/>
    <w:uiPriority w:val="99"/>
    <w:semiHidden/>
    <w:rsid w:val="007702D1"/>
    <w:rPr>
      <w:rFonts w:ascii="Arial" w:hAnsi="Arial" w:cs="Times New Roman"/>
      <w:b/>
      <w:bCs/>
      <w:sz w:val="20"/>
      <w:szCs w:val="20"/>
      <w:lang w:eastAsia="en-GB"/>
    </w:rPr>
  </w:style>
  <w:style w:type="character" w:styleId="FollowedHyperlink">
    <w:name w:val="FollowedHyperlink"/>
    <w:basedOn w:val="DefaultParagraphFont"/>
    <w:uiPriority w:val="99"/>
    <w:semiHidden/>
    <w:unhideWhenUsed/>
    <w:rsid w:val="007702D1"/>
    <w:rPr>
      <w:color w:val="954F72" w:themeColor="followedHyperlink"/>
      <w:u w:val="single"/>
    </w:rPr>
  </w:style>
  <w:style w:type="paragraph" w:styleId="Revision">
    <w:name w:val="Revision"/>
    <w:hidden/>
    <w:uiPriority w:val="99"/>
    <w:semiHidden/>
    <w:rsid w:val="00872CC0"/>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996478">
      <w:bodyDiv w:val="1"/>
      <w:marLeft w:val="0"/>
      <w:marRight w:val="0"/>
      <w:marTop w:val="0"/>
      <w:marBottom w:val="0"/>
      <w:divBdr>
        <w:top w:val="none" w:sz="0" w:space="0" w:color="auto"/>
        <w:left w:val="none" w:sz="0" w:space="0" w:color="auto"/>
        <w:bottom w:val="none" w:sz="0" w:space="0" w:color="auto"/>
        <w:right w:val="none" w:sz="0" w:space="0" w:color="auto"/>
      </w:divBdr>
    </w:div>
    <w:div w:id="855003402">
      <w:bodyDiv w:val="1"/>
      <w:marLeft w:val="0"/>
      <w:marRight w:val="0"/>
      <w:marTop w:val="0"/>
      <w:marBottom w:val="0"/>
      <w:divBdr>
        <w:top w:val="none" w:sz="0" w:space="0" w:color="auto"/>
        <w:left w:val="none" w:sz="0" w:space="0" w:color="auto"/>
        <w:bottom w:val="none" w:sz="0" w:space="0" w:color="auto"/>
        <w:right w:val="none" w:sz="0" w:space="0" w:color="auto"/>
      </w:divBdr>
    </w:div>
    <w:div w:id="1056047498">
      <w:bodyDiv w:val="1"/>
      <w:marLeft w:val="0"/>
      <w:marRight w:val="0"/>
      <w:marTop w:val="0"/>
      <w:marBottom w:val="0"/>
      <w:divBdr>
        <w:top w:val="none" w:sz="0" w:space="0" w:color="auto"/>
        <w:left w:val="none" w:sz="0" w:space="0" w:color="auto"/>
        <w:bottom w:val="none" w:sz="0" w:space="0" w:color="auto"/>
        <w:right w:val="none" w:sz="0" w:space="0" w:color="auto"/>
      </w:divBdr>
    </w:div>
    <w:div w:id="1217426806">
      <w:bodyDiv w:val="1"/>
      <w:marLeft w:val="0"/>
      <w:marRight w:val="0"/>
      <w:marTop w:val="0"/>
      <w:marBottom w:val="0"/>
      <w:divBdr>
        <w:top w:val="none" w:sz="0" w:space="0" w:color="auto"/>
        <w:left w:val="none" w:sz="0" w:space="0" w:color="auto"/>
        <w:bottom w:val="none" w:sz="0" w:space="0" w:color="auto"/>
        <w:right w:val="none" w:sz="0" w:space="0" w:color="auto"/>
      </w:divBdr>
    </w:div>
    <w:div w:id="153288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foodstandards.gov.scot/regulatory-policy/five-nf-revisions-transfer-smoke-flavourings/" TargetMode="External"/><Relationship Id="rId5" Type="http://schemas.openxmlformats.org/officeDocument/2006/relationships/webSettings" Target="webSettings.xml"/><Relationship Id="rId10" Type="http://schemas.openxmlformats.org/officeDocument/2006/relationships/hyperlink" Target="https://consult.foodstandards.gov.scot/regulatory-policy/publication-of-fss-opinion-and-consultation-on-nf/" TargetMode="External"/><Relationship Id="rId4" Type="http://schemas.openxmlformats.org/officeDocument/2006/relationships/settings" Target="settings.xml"/><Relationship Id="rId9" Type="http://schemas.openxmlformats.org/officeDocument/2006/relationships/hyperlink" Target="https://www.food.gov.uk/news-alerts/consultations/revision-to-the-fsafss-opinions-on-five-novel-foods-authorisation-applic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A37985357</value>
    </field>
    <field name="Objective-Title">
      <value order="0">Consultation responses - Revisions to the Food Standards Scotland (FSS) opinion on six novel foods applications for authorisation and transfer of authorisation holder for five smoke flavourings - 16 May 2022</value>
    </field>
    <field name="Objective-Description">
      <value order="0"/>
    </field>
    <field name="Objective-CreationStamp">
      <value order="0">2022-05-12T10:58:00Z</value>
    </field>
    <field name="Objective-IsApproved">
      <value order="0">false</value>
    </field>
    <field name="Objective-IsPublished">
      <value order="0">false</value>
    </field>
    <field name="Objective-DatePublished">
      <value order="0"/>
    </field>
    <field name="Objective-ModificationStamp">
      <value order="0">2022-05-16T15:36:33Z</value>
    </field>
    <field name="Objective-Owner">
      <value order="0">Hanlon, Lori (U449904)</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vA56330583</value>
    </field>
    <field name="Objective-Version">
      <value order="0">1.6</value>
    </field>
    <field name="Objective-VersionNumber">
      <value order="0">7</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Hanlon L (Lori)</dc:creator>
  <cp:keywords/>
  <dc:description/>
  <cp:lastModifiedBy>Evans J (Joshua)</cp:lastModifiedBy>
  <cp:revision>8</cp:revision>
  <dcterms:created xsi:type="dcterms:W3CDTF">2022-05-11T14:07:00Z</dcterms:created>
  <dcterms:modified xsi:type="dcterms:W3CDTF">2022-05-16T15:48:00Z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A37985357</vt:lpwstr>
  </property>
  <property fmtid="{D5CDD505-2E9C-101B-9397-08002B2CF9AE}" pid="4" name="Objective-Title">
    <vt:lpwstr>Consultation responses - Revisions to the Food Standards Scotland (FSS) opinion on six novel foods applications for authorisation and transfer of authorisation holder for five smoke flavourings - 16 May 2022</vt:lpwstr>
  </property>
  <property fmtid="{D5CDD505-2E9C-101B-9397-08002B2CF9AE}" pid="5" name="Objective-Description">
    <vt:lpwstr/>
  </property>
  <property fmtid="{D5CDD505-2E9C-101B-9397-08002B2CF9AE}" pid="6" name="Objective-CreationStamp">
    <vt:filetime>2022-05-12T10:58:00Z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2022-05-16T15:36:33Z</vt:filetime>
  </property>
  <property fmtid="{D5CDD505-2E9C-101B-9397-08002B2CF9AE}" pid="11" name="Objective-Owner">
    <vt:lpwstr>Hanlon, Lori (U449904)</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vA56330583</vt:lpwstr>
  </property>
  <property fmtid="{D5CDD505-2E9C-101B-9397-08002B2CF9AE}" pid="16" name="Objective-Version">
    <vt:lpwstr>1.6</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