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59" w:type="dxa"/>
        <w:tblLook w:val="04A0" w:firstRow="1" w:lastRow="0" w:firstColumn="1" w:lastColumn="0" w:noHBand="0" w:noVBand="1"/>
      </w:tblPr>
      <w:tblGrid>
        <w:gridCol w:w="3774"/>
        <w:gridCol w:w="5711"/>
      </w:tblGrid>
      <w:tr w:rsidR="007535DD" w:rsidRPr="00884E8B" w:rsidTr="00151473">
        <w:tc>
          <w:tcPr>
            <w:tcW w:w="3773" w:type="dxa"/>
            <w:shd w:val="clear" w:color="auto" w:fill="auto"/>
          </w:tcPr>
          <w:p w:rsidR="007535DD" w:rsidRPr="00884E8B" w:rsidRDefault="00B77EA3" w:rsidP="00187396">
            <w:pPr>
              <w:spacing w:after="0" w:line="240" w:lineRule="auto"/>
              <w:ind w:left="426" w:right="401"/>
              <w:rPr>
                <w:rFonts w:ascii="Arial" w:hAnsi="Arial" w:cs="Arial"/>
                <w:sz w:val="24"/>
                <w:szCs w:val="24"/>
              </w:rPr>
            </w:pPr>
            <w:r w:rsidRPr="00884E8B">
              <w:rPr>
                <w:rFonts w:ascii="Arial" w:hAnsi="Arial" w:cs="Arial"/>
                <w:noProof/>
                <w:sz w:val="24"/>
                <w:szCs w:val="24"/>
                <w:lang w:eastAsia="en-GB"/>
              </w:rPr>
              <w:drawing>
                <wp:inline distT="0" distB="0" distL="0" distR="0" wp14:anchorId="6B11812D" wp14:editId="19958AEB">
                  <wp:extent cx="1733550" cy="1607820"/>
                  <wp:effectExtent l="0" t="0" r="0" b="0"/>
                  <wp:docPr id="2" name="Picture 2" descr="C:\Users\gmournia\Desktop\FSS_Pos_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urnia\Desktop\FSS_Pos_S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1607820"/>
                          </a:xfrm>
                          <a:prstGeom prst="rect">
                            <a:avLst/>
                          </a:prstGeom>
                          <a:noFill/>
                          <a:ln>
                            <a:noFill/>
                          </a:ln>
                        </pic:spPr>
                      </pic:pic>
                    </a:graphicData>
                  </a:graphic>
                </wp:inline>
              </w:drawing>
            </w:r>
          </w:p>
        </w:tc>
        <w:tc>
          <w:tcPr>
            <w:tcW w:w="7368" w:type="dxa"/>
            <w:shd w:val="clear" w:color="auto" w:fill="auto"/>
          </w:tcPr>
          <w:p w:rsidR="007535DD" w:rsidRPr="00884E8B" w:rsidRDefault="007535DD" w:rsidP="00187396">
            <w:pPr>
              <w:spacing w:after="0" w:line="240" w:lineRule="auto"/>
              <w:ind w:left="426" w:right="401"/>
              <w:rPr>
                <w:rFonts w:ascii="Arial" w:hAnsi="Arial" w:cs="Arial"/>
                <w:sz w:val="24"/>
                <w:szCs w:val="24"/>
              </w:rPr>
            </w:pPr>
          </w:p>
        </w:tc>
      </w:tr>
    </w:tbl>
    <w:p w:rsidR="00457F2F" w:rsidRPr="00457F2F" w:rsidRDefault="00457F2F" w:rsidP="00457F2F">
      <w:pPr>
        <w:spacing w:after="0" w:line="240" w:lineRule="auto"/>
        <w:jc w:val="right"/>
        <w:rPr>
          <w:rFonts w:ascii="Arial" w:hAnsi="Arial" w:cs="Arial"/>
          <w:sz w:val="24"/>
          <w:szCs w:val="24"/>
        </w:rPr>
      </w:pPr>
      <w:r w:rsidRPr="00457F2F">
        <w:rPr>
          <w:rFonts w:ascii="Arial" w:hAnsi="Arial" w:cs="Arial"/>
          <w:sz w:val="24"/>
          <w:szCs w:val="24"/>
        </w:rPr>
        <w:t>2</w:t>
      </w:r>
      <w:r w:rsidR="001268D1">
        <w:rPr>
          <w:rFonts w:ascii="Arial" w:hAnsi="Arial" w:cs="Arial"/>
          <w:sz w:val="24"/>
          <w:szCs w:val="24"/>
        </w:rPr>
        <w:t>4</w:t>
      </w:r>
      <w:bookmarkStart w:id="0" w:name="_GoBack"/>
      <w:bookmarkEnd w:id="0"/>
      <w:r w:rsidRPr="00457F2F">
        <w:rPr>
          <w:rFonts w:ascii="Arial" w:hAnsi="Arial" w:cs="Arial"/>
          <w:sz w:val="24"/>
          <w:szCs w:val="24"/>
        </w:rPr>
        <w:t xml:space="preserve"> January 2020</w:t>
      </w:r>
    </w:p>
    <w:p w:rsidR="00457F2F" w:rsidRDefault="00457F2F" w:rsidP="0042338E">
      <w:pPr>
        <w:spacing w:after="0" w:line="240" w:lineRule="auto"/>
        <w:jc w:val="center"/>
        <w:rPr>
          <w:rFonts w:ascii="Arial" w:hAnsi="Arial" w:cs="Arial"/>
          <w:b/>
          <w:sz w:val="24"/>
          <w:szCs w:val="24"/>
        </w:rPr>
      </w:pPr>
    </w:p>
    <w:p w:rsidR="00457F2F" w:rsidRDefault="00457F2F" w:rsidP="0042338E">
      <w:pPr>
        <w:spacing w:after="0" w:line="240" w:lineRule="auto"/>
        <w:jc w:val="center"/>
        <w:rPr>
          <w:rFonts w:ascii="Arial" w:hAnsi="Arial" w:cs="Arial"/>
          <w:b/>
          <w:sz w:val="24"/>
          <w:szCs w:val="24"/>
        </w:rPr>
      </w:pPr>
    </w:p>
    <w:p w:rsidR="00FA3077" w:rsidRDefault="0042338E" w:rsidP="0042338E">
      <w:pPr>
        <w:spacing w:after="0" w:line="240" w:lineRule="auto"/>
        <w:jc w:val="center"/>
        <w:rPr>
          <w:rFonts w:ascii="Arial" w:hAnsi="Arial" w:cs="Arial"/>
          <w:b/>
          <w:sz w:val="24"/>
          <w:szCs w:val="24"/>
        </w:rPr>
      </w:pPr>
      <w:r>
        <w:rPr>
          <w:rFonts w:ascii="Arial" w:hAnsi="Arial" w:cs="Arial"/>
          <w:b/>
          <w:sz w:val="24"/>
          <w:szCs w:val="24"/>
        </w:rPr>
        <w:t xml:space="preserve">CONSULTATION ON THE </w:t>
      </w:r>
      <w:r w:rsidR="00660DE2" w:rsidRPr="00187396">
        <w:rPr>
          <w:rFonts w:ascii="Arial" w:hAnsi="Arial" w:cs="Arial"/>
          <w:b/>
          <w:sz w:val="24"/>
          <w:szCs w:val="24"/>
        </w:rPr>
        <w:t xml:space="preserve">IMPLEMENTATION OF </w:t>
      </w:r>
      <w:r w:rsidR="00187396">
        <w:rPr>
          <w:rFonts w:ascii="Arial" w:hAnsi="Arial" w:cs="Arial"/>
          <w:b/>
          <w:sz w:val="24"/>
          <w:szCs w:val="24"/>
        </w:rPr>
        <w:t xml:space="preserve">THE </w:t>
      </w:r>
      <w:r w:rsidR="003670C3">
        <w:rPr>
          <w:rFonts w:ascii="Arial" w:hAnsi="Arial" w:cs="Arial"/>
          <w:b/>
          <w:sz w:val="24"/>
          <w:szCs w:val="24"/>
        </w:rPr>
        <w:t xml:space="preserve">EU OFFICIAL CONTROLS REGULATION - </w:t>
      </w:r>
      <w:r w:rsidR="00187396">
        <w:rPr>
          <w:rFonts w:ascii="Arial" w:hAnsi="Arial" w:cs="Arial"/>
          <w:b/>
          <w:sz w:val="24"/>
          <w:szCs w:val="24"/>
        </w:rPr>
        <w:t xml:space="preserve">REGULATION (EU) </w:t>
      </w:r>
      <w:r w:rsidR="00660DE2" w:rsidRPr="00187396">
        <w:rPr>
          <w:rFonts w:ascii="Arial" w:hAnsi="Arial" w:cs="Arial"/>
          <w:b/>
          <w:sz w:val="24"/>
          <w:szCs w:val="24"/>
        </w:rPr>
        <w:t>2017/625</w:t>
      </w:r>
      <w:r w:rsidR="00187396">
        <w:rPr>
          <w:rFonts w:ascii="Arial" w:hAnsi="Arial" w:cs="Arial"/>
          <w:b/>
          <w:sz w:val="24"/>
          <w:szCs w:val="24"/>
        </w:rPr>
        <w:t xml:space="preserve"> </w:t>
      </w:r>
      <w:r w:rsidR="003670C3">
        <w:rPr>
          <w:rFonts w:ascii="Arial" w:hAnsi="Arial" w:cs="Arial"/>
          <w:b/>
          <w:sz w:val="24"/>
          <w:szCs w:val="24"/>
        </w:rPr>
        <w:t xml:space="preserve">- </w:t>
      </w:r>
      <w:r w:rsidR="00187396">
        <w:rPr>
          <w:rFonts w:ascii="Arial" w:hAnsi="Arial" w:cs="Arial"/>
          <w:b/>
          <w:sz w:val="24"/>
          <w:szCs w:val="24"/>
        </w:rPr>
        <w:t>AND ASSOCIATED TERTIARY LEGISLATION</w:t>
      </w:r>
    </w:p>
    <w:p w:rsidR="0042338E" w:rsidRDefault="0042338E" w:rsidP="0042338E">
      <w:pPr>
        <w:spacing w:after="0" w:line="240" w:lineRule="auto"/>
        <w:jc w:val="center"/>
        <w:rPr>
          <w:rFonts w:ascii="Arial" w:hAnsi="Arial" w:cs="Arial"/>
          <w:b/>
          <w:sz w:val="24"/>
          <w:szCs w:val="24"/>
        </w:rPr>
      </w:pPr>
    </w:p>
    <w:p w:rsidR="0042338E" w:rsidRDefault="0042338E" w:rsidP="0042338E">
      <w:pPr>
        <w:spacing w:after="0" w:line="240" w:lineRule="auto"/>
        <w:jc w:val="center"/>
        <w:rPr>
          <w:rFonts w:ascii="Arial" w:hAnsi="Arial" w:cs="Arial"/>
          <w:b/>
          <w:sz w:val="24"/>
          <w:szCs w:val="24"/>
        </w:rPr>
      </w:pPr>
      <w:r w:rsidRPr="00E62025">
        <w:rPr>
          <w:rFonts w:ascii="Arial" w:hAnsi="Arial" w:cs="Arial"/>
          <w:b/>
          <w:sz w:val="24"/>
          <w:szCs w:val="24"/>
        </w:rPr>
        <w:t>SUMMARY REPORT OF STAKEHOLDER RESPONSES</w:t>
      </w:r>
    </w:p>
    <w:p w:rsidR="00457F2F" w:rsidRDefault="00457F2F" w:rsidP="0042338E">
      <w:pPr>
        <w:spacing w:after="0" w:line="240" w:lineRule="auto"/>
        <w:jc w:val="center"/>
        <w:rPr>
          <w:rFonts w:ascii="Arial" w:hAnsi="Arial" w:cs="Arial"/>
          <w:b/>
          <w:sz w:val="24"/>
          <w:szCs w:val="24"/>
        </w:rPr>
      </w:pPr>
    </w:p>
    <w:p w:rsidR="00187396" w:rsidRPr="00187396" w:rsidRDefault="00187396" w:rsidP="00187396">
      <w:pPr>
        <w:spacing w:after="0" w:line="240" w:lineRule="auto"/>
        <w:jc w:val="both"/>
        <w:rPr>
          <w:rFonts w:ascii="Arial" w:hAnsi="Arial" w:cs="Arial"/>
          <w:sz w:val="24"/>
          <w:szCs w:val="24"/>
        </w:rPr>
      </w:pPr>
    </w:p>
    <w:p w:rsidR="00805B13" w:rsidRPr="003670C3" w:rsidRDefault="00C02ACC" w:rsidP="003670C3">
      <w:pPr>
        <w:pStyle w:val="ListParagraph"/>
        <w:numPr>
          <w:ilvl w:val="0"/>
          <w:numId w:val="12"/>
        </w:numPr>
        <w:ind w:left="0" w:hanging="426"/>
        <w:jc w:val="both"/>
        <w:rPr>
          <w:rFonts w:cs="Arial"/>
        </w:rPr>
      </w:pPr>
      <w:r w:rsidRPr="00C02ACC">
        <w:rPr>
          <w:rFonts w:cs="Arial"/>
        </w:rPr>
        <w:t xml:space="preserve">Food Standards Scotland (FSS) carried out a </w:t>
      </w:r>
      <w:r w:rsidR="0042338E">
        <w:rPr>
          <w:rFonts w:cs="Arial"/>
        </w:rPr>
        <w:t xml:space="preserve">consultation </w:t>
      </w:r>
      <w:r w:rsidRPr="00C02ACC">
        <w:rPr>
          <w:rFonts w:cs="Arial"/>
        </w:rPr>
        <w:t>on the implementation</w:t>
      </w:r>
      <w:r w:rsidR="003670C3">
        <w:rPr>
          <w:rFonts w:cs="Arial"/>
        </w:rPr>
        <w:t xml:space="preserve"> </w:t>
      </w:r>
      <w:r w:rsidRPr="00C02ACC">
        <w:rPr>
          <w:rFonts w:cs="Arial"/>
        </w:rPr>
        <w:t xml:space="preserve">of the </w:t>
      </w:r>
      <w:r w:rsidR="00805B13">
        <w:rPr>
          <w:rFonts w:cs="Arial"/>
        </w:rPr>
        <w:t xml:space="preserve">new EU </w:t>
      </w:r>
      <w:r>
        <w:rPr>
          <w:rFonts w:cs="Arial"/>
        </w:rPr>
        <w:t>Official Controls Regulation</w:t>
      </w:r>
      <w:r w:rsidRPr="00C02ACC">
        <w:rPr>
          <w:rFonts w:cs="Arial"/>
        </w:rPr>
        <w:t xml:space="preserve"> (OCR) </w:t>
      </w:r>
      <w:r w:rsidR="003670C3">
        <w:rPr>
          <w:rFonts w:cs="Arial"/>
        </w:rPr>
        <w:t xml:space="preserve">- </w:t>
      </w:r>
      <w:hyperlink r:id="rId9" w:history="1">
        <w:r w:rsidRPr="00C02ACC">
          <w:rPr>
            <w:rStyle w:val="Hyperlink"/>
            <w:rFonts w:cs="Arial"/>
          </w:rPr>
          <w:t>Regulation EU 2017/625</w:t>
        </w:r>
      </w:hyperlink>
      <w:r w:rsidRPr="00C02ACC">
        <w:rPr>
          <w:rFonts w:cs="Arial"/>
        </w:rPr>
        <w:t xml:space="preserve"> </w:t>
      </w:r>
      <w:r w:rsidR="003670C3">
        <w:rPr>
          <w:rFonts w:cs="Arial"/>
        </w:rPr>
        <w:t xml:space="preserve">- </w:t>
      </w:r>
      <w:r w:rsidR="00DA6AF8">
        <w:rPr>
          <w:rFonts w:cs="Arial"/>
        </w:rPr>
        <w:t xml:space="preserve">and </w:t>
      </w:r>
      <w:r w:rsidR="003670C3">
        <w:rPr>
          <w:rFonts w:cs="Arial"/>
        </w:rPr>
        <w:t xml:space="preserve">associated tertiary legislation. </w:t>
      </w:r>
      <w:r w:rsidR="00933952" w:rsidRPr="003670C3">
        <w:rPr>
          <w:rFonts w:cs="Arial"/>
        </w:rPr>
        <w:t xml:space="preserve">The </w:t>
      </w:r>
      <w:r w:rsidR="0042338E" w:rsidRPr="003670C3">
        <w:rPr>
          <w:rFonts w:cs="Arial"/>
        </w:rPr>
        <w:t>consultation was issued on 27</w:t>
      </w:r>
      <w:r w:rsidR="0042338E" w:rsidRPr="003670C3">
        <w:rPr>
          <w:rFonts w:cs="Arial"/>
          <w:vertAlign w:val="superscript"/>
        </w:rPr>
        <w:t>th</w:t>
      </w:r>
      <w:r w:rsidR="0042338E" w:rsidRPr="003670C3">
        <w:rPr>
          <w:rFonts w:cs="Arial"/>
        </w:rPr>
        <w:t xml:space="preserve"> September 2019 and closed on 25</w:t>
      </w:r>
      <w:r w:rsidR="0042338E" w:rsidRPr="003670C3">
        <w:rPr>
          <w:rFonts w:cs="Arial"/>
          <w:vertAlign w:val="superscript"/>
        </w:rPr>
        <w:t>th</w:t>
      </w:r>
      <w:r w:rsidR="0042338E" w:rsidRPr="003670C3">
        <w:rPr>
          <w:rFonts w:cs="Arial"/>
        </w:rPr>
        <w:t xml:space="preserve"> October 2019. </w:t>
      </w:r>
    </w:p>
    <w:p w:rsidR="003670C3" w:rsidRDefault="003670C3" w:rsidP="003670C3">
      <w:pPr>
        <w:pStyle w:val="ListParagraph"/>
        <w:ind w:left="0"/>
        <w:jc w:val="both"/>
        <w:rPr>
          <w:rFonts w:cs="Arial"/>
        </w:rPr>
      </w:pPr>
    </w:p>
    <w:p w:rsidR="003670C3" w:rsidRDefault="003670C3" w:rsidP="003670C3">
      <w:pPr>
        <w:pStyle w:val="ListParagraph"/>
        <w:numPr>
          <w:ilvl w:val="0"/>
          <w:numId w:val="12"/>
        </w:numPr>
        <w:ind w:left="0" w:hanging="426"/>
        <w:jc w:val="both"/>
        <w:rPr>
          <w:rFonts w:cs="Arial"/>
        </w:rPr>
      </w:pPr>
      <w:r w:rsidRPr="003670C3">
        <w:rPr>
          <w:rFonts w:cs="Arial"/>
        </w:rPr>
        <w:t xml:space="preserve">The consultation provided stakeholders with the opportunity to comment and express their opinions on the </w:t>
      </w:r>
      <w:r>
        <w:rPr>
          <w:rFonts w:cs="Arial"/>
        </w:rPr>
        <w:t xml:space="preserve">Business and Regulatory </w:t>
      </w:r>
      <w:r w:rsidRPr="003670C3">
        <w:rPr>
          <w:rFonts w:cs="Arial"/>
        </w:rPr>
        <w:t xml:space="preserve">Impact Assessment </w:t>
      </w:r>
      <w:r>
        <w:rPr>
          <w:rFonts w:cs="Arial"/>
        </w:rPr>
        <w:t xml:space="preserve">(BRIA) </w:t>
      </w:r>
      <w:r w:rsidRPr="003670C3">
        <w:rPr>
          <w:rFonts w:cs="Arial"/>
        </w:rPr>
        <w:t xml:space="preserve">developed by </w:t>
      </w:r>
      <w:r>
        <w:rPr>
          <w:rFonts w:cs="Arial"/>
        </w:rPr>
        <w:t xml:space="preserve">FSS </w:t>
      </w:r>
      <w:r w:rsidRPr="003670C3">
        <w:rPr>
          <w:rFonts w:cs="Arial"/>
        </w:rPr>
        <w:t xml:space="preserve">on the implementation, approach and assessment of impacts in Scotland to provide for the execution and enforcement of the OCR in relation to our areas of responsibility for food and feed safety. </w:t>
      </w:r>
    </w:p>
    <w:p w:rsidR="003670C3" w:rsidRDefault="003670C3" w:rsidP="003670C3">
      <w:pPr>
        <w:pStyle w:val="ListParagraph"/>
        <w:ind w:left="0"/>
        <w:jc w:val="both"/>
        <w:rPr>
          <w:rFonts w:cs="Arial"/>
        </w:rPr>
      </w:pPr>
    </w:p>
    <w:p w:rsidR="003670C3" w:rsidRPr="003670C3" w:rsidRDefault="003670C3" w:rsidP="00A6323A">
      <w:pPr>
        <w:pStyle w:val="ListParagraph"/>
        <w:numPr>
          <w:ilvl w:val="0"/>
          <w:numId w:val="12"/>
        </w:numPr>
        <w:ind w:left="0" w:hanging="426"/>
        <w:jc w:val="both"/>
      </w:pPr>
      <w:r w:rsidRPr="003670C3">
        <w:rPr>
          <w:rFonts w:cs="Arial"/>
        </w:rPr>
        <w:t>FSS is grateful to those stakeholders who responded and sets out in the table below the responses</w:t>
      </w:r>
      <w:r w:rsidR="00B945A8">
        <w:rPr>
          <w:rFonts w:cs="Arial"/>
        </w:rPr>
        <w:t>/comments</w:t>
      </w:r>
      <w:r w:rsidRPr="003670C3">
        <w:rPr>
          <w:rFonts w:cs="Arial"/>
        </w:rPr>
        <w:t xml:space="preserve"> raised by stakeholders, along with a response from FSS. </w:t>
      </w:r>
    </w:p>
    <w:p w:rsidR="003670C3" w:rsidRDefault="003670C3" w:rsidP="003670C3">
      <w:pPr>
        <w:pStyle w:val="ListParagraph"/>
        <w:ind w:left="0"/>
        <w:jc w:val="both"/>
      </w:pPr>
    </w:p>
    <w:p w:rsidR="007F3F46" w:rsidRDefault="003670C3" w:rsidP="003670C3">
      <w:pPr>
        <w:pStyle w:val="ListParagraph"/>
        <w:numPr>
          <w:ilvl w:val="0"/>
          <w:numId w:val="12"/>
        </w:numPr>
        <w:ind w:left="0" w:hanging="426"/>
        <w:jc w:val="both"/>
      </w:pPr>
      <w:r w:rsidRPr="003670C3">
        <w:t>While stakeholders were general</w:t>
      </w:r>
      <w:r>
        <w:t>ly</w:t>
      </w:r>
      <w:r w:rsidRPr="003670C3">
        <w:t xml:space="preserve"> in favour of, or did not disagree with</w:t>
      </w:r>
      <w:r>
        <w:t xml:space="preserve">, the proposed approach </w:t>
      </w:r>
      <w:r w:rsidRPr="003670C3">
        <w:t xml:space="preserve">some concerns were raised. These, and </w:t>
      </w:r>
      <w:r>
        <w:t xml:space="preserve">our </w:t>
      </w:r>
      <w:r w:rsidRPr="003670C3">
        <w:t>consi</w:t>
      </w:r>
      <w:r>
        <w:t xml:space="preserve">dered response, are noted below. </w:t>
      </w:r>
    </w:p>
    <w:p w:rsidR="00457F2F" w:rsidRDefault="00457F2F" w:rsidP="00457F2F">
      <w:pPr>
        <w:pStyle w:val="ListParagraph"/>
        <w:ind w:left="0"/>
        <w:jc w:val="both"/>
      </w:pPr>
    </w:p>
    <w:p w:rsidR="00457F2F" w:rsidRDefault="00457F2F" w:rsidP="003670C3">
      <w:pPr>
        <w:pStyle w:val="ListParagraph"/>
        <w:numPr>
          <w:ilvl w:val="0"/>
          <w:numId w:val="12"/>
        </w:numPr>
        <w:ind w:left="0" w:hanging="426"/>
        <w:jc w:val="both"/>
      </w:pPr>
      <w:r>
        <w:t>The OCR applied fully as of 14</w:t>
      </w:r>
      <w:r w:rsidRPr="00457F2F">
        <w:rPr>
          <w:vertAlign w:val="superscript"/>
        </w:rPr>
        <w:t>th</w:t>
      </w:r>
      <w:r>
        <w:t xml:space="preserve"> December 2019 and, as of that date, repealed and replaced legislation which is integral to the activities of FSS as the national competent authority (CA) responsible for the delivery of official food and feed controls in Scotland, and other food and feed enforcement bodies such as Local Authorities (</w:t>
      </w:r>
      <w:proofErr w:type="spellStart"/>
      <w:r>
        <w:t>LAs</w:t>
      </w:r>
      <w:proofErr w:type="spellEnd"/>
      <w:r>
        <w:t xml:space="preserve">). </w:t>
      </w:r>
    </w:p>
    <w:p w:rsidR="007F3F46" w:rsidRDefault="007F3F46" w:rsidP="007F3F46">
      <w:pPr>
        <w:pStyle w:val="ListParagraph"/>
        <w:ind w:left="0"/>
        <w:jc w:val="both"/>
      </w:pPr>
    </w:p>
    <w:p w:rsidR="003670C3" w:rsidRDefault="003670C3" w:rsidP="003670C3">
      <w:pPr>
        <w:pStyle w:val="ListParagraph"/>
        <w:numPr>
          <w:ilvl w:val="0"/>
          <w:numId w:val="12"/>
        </w:numPr>
        <w:ind w:left="0" w:hanging="426"/>
        <w:jc w:val="both"/>
      </w:pPr>
      <w:r>
        <w:t xml:space="preserve">FSS </w:t>
      </w:r>
      <w:r w:rsidRPr="003670C3">
        <w:t xml:space="preserve">has engaged with industry and enforcement authorities about the implementation of the </w:t>
      </w:r>
      <w:r>
        <w:t xml:space="preserve">OCR </w:t>
      </w:r>
      <w:r w:rsidRPr="003670C3">
        <w:t>and will continue to do so. </w:t>
      </w:r>
    </w:p>
    <w:p w:rsidR="00457F2F" w:rsidRDefault="00457F2F" w:rsidP="00457F2F">
      <w:pPr>
        <w:jc w:val="both"/>
      </w:pPr>
    </w:p>
    <w:p w:rsidR="00457F2F" w:rsidRDefault="00457F2F" w:rsidP="00457F2F">
      <w:pPr>
        <w:jc w:val="both"/>
      </w:pPr>
    </w:p>
    <w:p w:rsidR="00457F2F" w:rsidRDefault="00457F2F" w:rsidP="00457F2F">
      <w:pPr>
        <w:jc w:val="both"/>
      </w:pPr>
    </w:p>
    <w:tbl>
      <w:tblPr>
        <w:tblStyle w:val="TableGrid"/>
        <w:tblW w:w="0" w:type="auto"/>
        <w:shd w:val="clear" w:color="auto" w:fill="BFBFBF" w:themeFill="background1" w:themeFillShade="BF"/>
        <w:tblLook w:val="04A0" w:firstRow="1" w:lastRow="0" w:firstColumn="1" w:lastColumn="0" w:noHBand="0" w:noVBand="1"/>
      </w:tblPr>
      <w:tblGrid>
        <w:gridCol w:w="1751"/>
        <w:gridCol w:w="3631"/>
        <w:gridCol w:w="3634"/>
      </w:tblGrid>
      <w:tr w:rsidR="007F3F46" w:rsidTr="007F3F46">
        <w:tc>
          <w:tcPr>
            <w:tcW w:w="1751" w:type="dxa"/>
            <w:tcBorders>
              <w:bottom w:val="single" w:sz="4" w:space="0" w:color="auto"/>
            </w:tcBorders>
            <w:shd w:val="clear" w:color="auto" w:fill="BFBFBF" w:themeFill="background1" w:themeFillShade="BF"/>
          </w:tcPr>
          <w:p w:rsidR="007F3F46" w:rsidRDefault="007F3F46" w:rsidP="003670C3">
            <w:pPr>
              <w:pStyle w:val="ListParagraph"/>
              <w:ind w:left="0"/>
              <w:jc w:val="both"/>
            </w:pPr>
          </w:p>
          <w:p w:rsidR="00B945A8" w:rsidRDefault="00B945A8" w:rsidP="003670C3">
            <w:pPr>
              <w:pStyle w:val="ListParagraph"/>
              <w:ind w:left="0"/>
              <w:jc w:val="both"/>
            </w:pPr>
            <w:r>
              <w:t>Respondent</w:t>
            </w:r>
          </w:p>
          <w:p w:rsidR="007F3F46" w:rsidRDefault="007F3F46" w:rsidP="003670C3">
            <w:pPr>
              <w:pStyle w:val="ListParagraph"/>
              <w:ind w:left="0"/>
              <w:jc w:val="both"/>
            </w:pPr>
          </w:p>
        </w:tc>
        <w:tc>
          <w:tcPr>
            <w:tcW w:w="3631" w:type="dxa"/>
            <w:tcBorders>
              <w:bottom w:val="single" w:sz="4" w:space="0" w:color="auto"/>
            </w:tcBorders>
            <w:shd w:val="clear" w:color="auto" w:fill="BFBFBF" w:themeFill="background1" w:themeFillShade="BF"/>
          </w:tcPr>
          <w:p w:rsidR="007F3F46" w:rsidRDefault="007F3F46" w:rsidP="00B945A8">
            <w:pPr>
              <w:pStyle w:val="ListParagraph"/>
              <w:ind w:left="0"/>
              <w:jc w:val="both"/>
            </w:pPr>
          </w:p>
          <w:p w:rsidR="00B945A8" w:rsidRDefault="00B945A8" w:rsidP="00B945A8">
            <w:pPr>
              <w:pStyle w:val="ListParagraph"/>
              <w:ind w:left="0"/>
              <w:jc w:val="both"/>
            </w:pPr>
            <w:r>
              <w:t xml:space="preserve">Respondent comments </w:t>
            </w:r>
          </w:p>
        </w:tc>
        <w:tc>
          <w:tcPr>
            <w:tcW w:w="3634" w:type="dxa"/>
            <w:tcBorders>
              <w:bottom w:val="single" w:sz="4" w:space="0" w:color="auto"/>
            </w:tcBorders>
            <w:shd w:val="clear" w:color="auto" w:fill="BFBFBF" w:themeFill="background1" w:themeFillShade="BF"/>
          </w:tcPr>
          <w:p w:rsidR="007F3F46" w:rsidRDefault="007F3F46" w:rsidP="00B945A8">
            <w:pPr>
              <w:pStyle w:val="ListParagraph"/>
              <w:ind w:left="0"/>
              <w:jc w:val="both"/>
            </w:pPr>
          </w:p>
          <w:p w:rsidR="00B945A8" w:rsidRDefault="00B945A8" w:rsidP="00B945A8">
            <w:pPr>
              <w:pStyle w:val="ListParagraph"/>
              <w:ind w:left="0"/>
              <w:jc w:val="both"/>
            </w:pPr>
            <w:r>
              <w:t xml:space="preserve">FSS comments </w:t>
            </w:r>
          </w:p>
        </w:tc>
      </w:tr>
      <w:tr w:rsidR="007F3F46" w:rsidTr="007F3F46">
        <w:tc>
          <w:tcPr>
            <w:tcW w:w="1751" w:type="dxa"/>
          </w:tcPr>
          <w:p w:rsidR="00B945A8" w:rsidRDefault="00B945A8" w:rsidP="007F3F46">
            <w:pPr>
              <w:pStyle w:val="ListParagraph"/>
              <w:ind w:left="0"/>
            </w:pPr>
            <w:r>
              <w:t>Chartered Institute of Environmental Health (</w:t>
            </w:r>
            <w:proofErr w:type="spellStart"/>
            <w:r>
              <w:t>CIEH</w:t>
            </w:r>
            <w:proofErr w:type="spellEnd"/>
            <w:r>
              <w:t>)</w:t>
            </w:r>
          </w:p>
        </w:tc>
        <w:tc>
          <w:tcPr>
            <w:tcW w:w="3631" w:type="dxa"/>
            <w:shd w:val="clear" w:color="auto" w:fill="auto"/>
          </w:tcPr>
          <w:p w:rsidR="00B945A8" w:rsidRDefault="007F3F46" w:rsidP="007F3F46">
            <w:pPr>
              <w:pStyle w:val="ListParagraph"/>
              <w:ind w:left="0"/>
            </w:pPr>
            <w:r>
              <w:t>Concerned that the OCR does not explicitly recognise Environmental Health Officers (</w:t>
            </w:r>
            <w:proofErr w:type="spellStart"/>
            <w:r>
              <w:t>EHOs</w:t>
            </w:r>
            <w:proofErr w:type="spellEnd"/>
            <w:r>
              <w:t>) or Environmental Health Practitioners (</w:t>
            </w:r>
            <w:proofErr w:type="spellStart"/>
            <w:r>
              <w:t>EHPs</w:t>
            </w:r>
            <w:proofErr w:type="spellEnd"/>
            <w:r>
              <w:t>) as Authorised Officers (OAs). Article 49 (2) (a) and (b) of the OCR refers only to the Official Veterinarian (</w:t>
            </w:r>
            <w:proofErr w:type="spellStart"/>
            <w:r>
              <w:t>OV</w:t>
            </w:r>
            <w:proofErr w:type="spellEnd"/>
            <w:r>
              <w:t>) and staff trained (in accordance with the article) delivering official controls at Border Control Posts (</w:t>
            </w:r>
            <w:proofErr w:type="spellStart"/>
            <w:r>
              <w:t>BCPs</w:t>
            </w:r>
            <w:proofErr w:type="spellEnd"/>
            <w:r>
              <w:t>) in relation to the importation of products of animal origin (</w:t>
            </w:r>
            <w:proofErr w:type="spellStart"/>
            <w:r>
              <w:t>POAO</w:t>
            </w:r>
            <w:proofErr w:type="spellEnd"/>
            <w:r>
              <w:t>), aquatic animals, germinal products and animal by-products (</w:t>
            </w:r>
            <w:proofErr w:type="spellStart"/>
            <w:r>
              <w:t>ABPs</w:t>
            </w:r>
            <w:proofErr w:type="spellEnd"/>
            <w:r>
              <w:t xml:space="preserve">). Therefore </w:t>
            </w:r>
            <w:r w:rsidR="00B945A8">
              <w:t xml:space="preserve">concerns </w:t>
            </w:r>
            <w:r>
              <w:t xml:space="preserve">raised </w:t>
            </w:r>
            <w:r w:rsidR="00B945A8">
              <w:t xml:space="preserve">as to whether </w:t>
            </w:r>
            <w:proofErr w:type="spellStart"/>
            <w:r>
              <w:t>EHOs</w:t>
            </w:r>
            <w:proofErr w:type="spellEnd"/>
            <w:r>
              <w:t xml:space="preserve"> and </w:t>
            </w:r>
            <w:proofErr w:type="spellStart"/>
            <w:r>
              <w:t>EHPs</w:t>
            </w:r>
            <w:proofErr w:type="spellEnd"/>
            <w:r>
              <w:t xml:space="preserve"> can </w:t>
            </w:r>
            <w:r w:rsidR="00B945A8">
              <w:t xml:space="preserve">continue </w:t>
            </w:r>
            <w:r>
              <w:t xml:space="preserve">to carry </w:t>
            </w:r>
            <w:r w:rsidR="00B945A8">
              <w:t xml:space="preserve">out official controls on </w:t>
            </w:r>
            <w:r>
              <w:t xml:space="preserve">these </w:t>
            </w:r>
            <w:r w:rsidR="00B945A8">
              <w:t>prod</w:t>
            </w:r>
            <w:r>
              <w:t xml:space="preserve">ucts. Requested confirmation from both FSS and the Food Standards Agency (FSA) in England, Wales and Northern Ireland that </w:t>
            </w:r>
            <w:proofErr w:type="spellStart"/>
            <w:r>
              <w:t>EHOs</w:t>
            </w:r>
            <w:proofErr w:type="spellEnd"/>
            <w:r>
              <w:t xml:space="preserve"> and </w:t>
            </w:r>
            <w:proofErr w:type="spellStart"/>
            <w:r>
              <w:t>EHPs</w:t>
            </w:r>
            <w:proofErr w:type="spellEnd"/>
            <w:r>
              <w:t xml:space="preserve"> are recognised as staff trained to undertake official controls on certain products imported into the UK. </w:t>
            </w:r>
          </w:p>
        </w:tc>
        <w:tc>
          <w:tcPr>
            <w:tcW w:w="3634" w:type="dxa"/>
            <w:shd w:val="clear" w:color="auto" w:fill="auto"/>
          </w:tcPr>
          <w:p w:rsidR="00B945A8" w:rsidRDefault="007F3F46" w:rsidP="007F3F46">
            <w:pPr>
              <w:pStyle w:val="ListParagraph"/>
              <w:ind w:left="0"/>
            </w:pPr>
            <w:r>
              <w:t xml:space="preserve">FSS and the FSA value the work of all those involved in delivering official control checks throughout the UK. A wide variety of titles are used throughout the EU to describe trained staff and it would be difficult to list a specific title to identify other groups who could carry out import functions in the OCR that would be common to all Member States. </w:t>
            </w:r>
            <w:r w:rsidRPr="007F3F46">
              <w:t xml:space="preserve">The inclusion of trained staff provides the opportunity to use staff other than the </w:t>
            </w:r>
            <w:proofErr w:type="spellStart"/>
            <w:r>
              <w:t>OV</w:t>
            </w:r>
            <w:proofErr w:type="spellEnd"/>
            <w:r>
              <w:t xml:space="preserve"> to </w:t>
            </w:r>
            <w:r w:rsidRPr="007F3F46">
              <w:t xml:space="preserve">deliver official controls relating to the importation </w:t>
            </w:r>
            <w:r>
              <w:t>of those products listed in Article 49</w:t>
            </w:r>
            <w:r w:rsidRPr="007F3F46">
              <w:t>, which provides greater flex</w:t>
            </w:r>
            <w:r>
              <w:t xml:space="preserve">ibility resourcing this control. </w:t>
            </w:r>
            <w:r w:rsidRPr="007F3F46">
              <w:t xml:space="preserve">The Food Law Code of Practice and Practice Guidance continues to recognise qualifications that would be suitable for those involved in delivering </w:t>
            </w:r>
            <w:r>
              <w:t>official c</w:t>
            </w:r>
            <w:r w:rsidRPr="007F3F46">
              <w:t xml:space="preserve">ontrols for imported foods. </w:t>
            </w:r>
            <w:r>
              <w:t xml:space="preserve">Neither FSS nor the </w:t>
            </w:r>
            <w:r w:rsidRPr="007F3F46">
              <w:t xml:space="preserve">FSA anticipate that there will be any change for those </w:t>
            </w:r>
            <w:proofErr w:type="spellStart"/>
            <w:r>
              <w:t>EHOs</w:t>
            </w:r>
            <w:proofErr w:type="spellEnd"/>
            <w:r>
              <w:t>/</w:t>
            </w:r>
            <w:proofErr w:type="spellStart"/>
            <w:r w:rsidRPr="007F3F46">
              <w:t>EHPs</w:t>
            </w:r>
            <w:proofErr w:type="spellEnd"/>
            <w:r w:rsidRPr="007F3F46">
              <w:t xml:space="preserve"> that are employed to undertake official controls on certain imported food products</w:t>
            </w:r>
            <w:r>
              <w:t xml:space="preserve">. </w:t>
            </w:r>
          </w:p>
          <w:p w:rsidR="007F3F46" w:rsidRDefault="007F3F46" w:rsidP="007F3F46">
            <w:pPr>
              <w:pStyle w:val="ListParagraph"/>
              <w:ind w:left="0"/>
            </w:pPr>
          </w:p>
        </w:tc>
      </w:tr>
      <w:tr w:rsidR="007F3F46" w:rsidTr="007F3F46">
        <w:tc>
          <w:tcPr>
            <w:tcW w:w="1751" w:type="dxa"/>
          </w:tcPr>
          <w:p w:rsidR="007F3F46" w:rsidRDefault="007F3F46" w:rsidP="007F3F46">
            <w:pPr>
              <w:pStyle w:val="ListParagraph"/>
              <w:ind w:left="0"/>
            </w:pPr>
            <w:r>
              <w:t>Aberdeen, Glasgow and Tayside Scientific Services</w:t>
            </w:r>
          </w:p>
        </w:tc>
        <w:tc>
          <w:tcPr>
            <w:tcW w:w="3631" w:type="dxa"/>
            <w:shd w:val="clear" w:color="auto" w:fill="auto"/>
          </w:tcPr>
          <w:p w:rsidR="007F3F46" w:rsidRDefault="007F3F46" w:rsidP="007F3F46">
            <w:pPr>
              <w:pStyle w:val="ListParagraph"/>
              <w:ind w:left="0"/>
            </w:pPr>
            <w:r>
              <w:t>Questioned the familiarisation costs for official control laboratories (</w:t>
            </w:r>
            <w:proofErr w:type="spellStart"/>
            <w:r>
              <w:t>OCLs</w:t>
            </w:r>
            <w:proofErr w:type="spellEnd"/>
            <w:r>
              <w:t xml:space="preserve">). </w:t>
            </w:r>
          </w:p>
          <w:p w:rsidR="007F3F46" w:rsidRDefault="007F3F46" w:rsidP="007F3F46">
            <w:pPr>
              <w:pStyle w:val="ListParagraph"/>
              <w:ind w:left="0"/>
            </w:pPr>
          </w:p>
          <w:p w:rsidR="007F3F46" w:rsidRDefault="007F3F46" w:rsidP="007F3F46">
            <w:pPr>
              <w:pStyle w:val="ListParagraph"/>
              <w:ind w:left="0"/>
            </w:pPr>
            <w:r>
              <w:t xml:space="preserve">Opined there shouldn’t be any instances of a Local Authority (LA) “sub-contracting” samples. Official samples for analysis must be submitted to an </w:t>
            </w:r>
            <w:proofErr w:type="spellStart"/>
            <w:r>
              <w:t>OCL</w:t>
            </w:r>
            <w:proofErr w:type="spellEnd"/>
            <w:r>
              <w:t xml:space="preserve"> that has a contractual relationship with a Public Analyst appointed by the LA or the Public Analyst for the area </w:t>
            </w:r>
            <w:r>
              <w:lastRenderedPageBreak/>
              <w:t xml:space="preserve">in which the sample was procured – Section 30(1) of the Food Safety Act 1990. Questioned the term “sub-contracting” and highlighted there is a tendency to use this term indiscriminately to apply to all situations where a sample is not analysed at the </w:t>
            </w:r>
            <w:proofErr w:type="spellStart"/>
            <w:r>
              <w:t>OCL</w:t>
            </w:r>
            <w:proofErr w:type="spellEnd"/>
            <w:r>
              <w:t xml:space="preserve"> to which it is first submitted. There are important legal distinctions that need to be considered – Section 30(4) of the Food Safety Act 1990.</w:t>
            </w:r>
          </w:p>
          <w:p w:rsidR="007F3F46" w:rsidRDefault="007F3F46" w:rsidP="007F3F46">
            <w:pPr>
              <w:pStyle w:val="ListParagraph"/>
              <w:ind w:left="0"/>
            </w:pPr>
          </w:p>
        </w:tc>
        <w:tc>
          <w:tcPr>
            <w:tcW w:w="3634" w:type="dxa"/>
            <w:shd w:val="clear" w:color="auto" w:fill="auto"/>
          </w:tcPr>
          <w:p w:rsidR="007F3F46" w:rsidRDefault="007F3F46" w:rsidP="007F3F46">
            <w:pPr>
              <w:pStyle w:val="ListParagraph"/>
              <w:ind w:left="0"/>
            </w:pPr>
            <w:r>
              <w:lastRenderedPageBreak/>
              <w:t>Comments noted.</w:t>
            </w:r>
          </w:p>
          <w:p w:rsidR="007F3F46" w:rsidRDefault="007F3F46" w:rsidP="007F3F46">
            <w:pPr>
              <w:pStyle w:val="ListParagraph"/>
              <w:ind w:left="0"/>
            </w:pPr>
          </w:p>
          <w:p w:rsidR="007F3F46" w:rsidRDefault="007F3F46" w:rsidP="007F3F46">
            <w:pPr>
              <w:pStyle w:val="ListParagraph"/>
              <w:ind w:left="0"/>
            </w:pPr>
          </w:p>
          <w:p w:rsidR="007F3F46" w:rsidRDefault="007F3F46" w:rsidP="007F3F46">
            <w:pPr>
              <w:pStyle w:val="ListParagraph"/>
              <w:ind w:left="0"/>
            </w:pPr>
          </w:p>
          <w:p w:rsidR="007F3F46" w:rsidRDefault="007F3F46" w:rsidP="007F3F46">
            <w:pPr>
              <w:pStyle w:val="ListParagraph"/>
              <w:ind w:left="0"/>
            </w:pPr>
            <w:r>
              <w:t xml:space="preserve">Comments noted. The term “sub-contracting” refers to the provision in Article 37 of the OCR which permits the competent authority (CA) to designate an official laboratory in its home Member State, in another Member State or in a third country that is a </w:t>
            </w:r>
            <w:r>
              <w:lastRenderedPageBreak/>
              <w:t xml:space="preserve">Contracting Party to the Agreement on the European Economic Area (EEA). One of these conditions is that, if the CA designates an official laboratory in another Member State, that laboratory must have been designated as an official laboratory in its home Member State. </w:t>
            </w:r>
          </w:p>
          <w:p w:rsidR="007F3F46" w:rsidRDefault="007F3F46" w:rsidP="007F3F46">
            <w:pPr>
              <w:pStyle w:val="ListParagraph"/>
              <w:ind w:left="0"/>
            </w:pPr>
          </w:p>
        </w:tc>
      </w:tr>
      <w:tr w:rsidR="007F3F46" w:rsidTr="007F3F46">
        <w:tc>
          <w:tcPr>
            <w:tcW w:w="1751" w:type="dxa"/>
          </w:tcPr>
          <w:p w:rsidR="007F3F46" w:rsidRDefault="007F3F46" w:rsidP="007F3F46">
            <w:pPr>
              <w:pStyle w:val="ListParagraph"/>
              <w:ind w:left="0"/>
            </w:pPr>
            <w:r>
              <w:lastRenderedPageBreak/>
              <w:t>Centre for Environment, Fisheries and Aquaculture Science (CEFAS)</w:t>
            </w:r>
          </w:p>
        </w:tc>
        <w:tc>
          <w:tcPr>
            <w:tcW w:w="3631" w:type="dxa"/>
            <w:shd w:val="clear" w:color="auto" w:fill="auto"/>
          </w:tcPr>
          <w:p w:rsidR="007F3F46" w:rsidRDefault="007F3F46" w:rsidP="007F3F46">
            <w:pPr>
              <w:pStyle w:val="ListParagraph"/>
              <w:ind w:left="0"/>
            </w:pPr>
            <w:r>
              <w:t>Confirmed that they’re unaware of any food business operators (</w:t>
            </w:r>
            <w:proofErr w:type="spellStart"/>
            <w:r>
              <w:t>FBOs</w:t>
            </w:r>
            <w:proofErr w:type="spellEnd"/>
            <w:r>
              <w:t xml:space="preserve">) in Scotland that currently harvest echinoderms from unclassified areas but are aware that discussions have taken place in the past regarding future harvesting opportunities from areas currently classified for other species in Scotland. </w:t>
            </w:r>
          </w:p>
          <w:p w:rsidR="007F3F46" w:rsidRDefault="007F3F46" w:rsidP="007F3F46">
            <w:pPr>
              <w:pStyle w:val="ListParagraph"/>
              <w:ind w:left="0"/>
            </w:pPr>
          </w:p>
          <w:p w:rsidR="007F3F46" w:rsidRDefault="007F3F46" w:rsidP="007F3F46">
            <w:pPr>
              <w:pStyle w:val="ListParagraph"/>
              <w:ind w:left="0"/>
            </w:pPr>
            <w:r>
              <w:t>Confirmed that none of the official samples delivered to their laboratory are sent abroad for analysis and they also don’t receive any samples for official control testing from any other laboratory.</w:t>
            </w:r>
          </w:p>
          <w:p w:rsidR="007F3F46" w:rsidRDefault="007F3F46" w:rsidP="007F3F46">
            <w:pPr>
              <w:pStyle w:val="ListParagraph"/>
              <w:ind w:left="0"/>
            </w:pPr>
          </w:p>
        </w:tc>
        <w:tc>
          <w:tcPr>
            <w:tcW w:w="3634" w:type="dxa"/>
            <w:shd w:val="clear" w:color="auto" w:fill="auto"/>
          </w:tcPr>
          <w:p w:rsidR="007F3F46" w:rsidRDefault="007F3F46" w:rsidP="007F3F46">
            <w:pPr>
              <w:pStyle w:val="ListParagraph"/>
              <w:ind w:left="0"/>
            </w:pPr>
            <w:r>
              <w:t xml:space="preserve">Comments noted. </w:t>
            </w:r>
          </w:p>
          <w:p w:rsidR="007F3F46" w:rsidRDefault="007F3F46" w:rsidP="007F3F46">
            <w:pPr>
              <w:pStyle w:val="ListParagraph"/>
              <w:ind w:left="0"/>
            </w:pPr>
          </w:p>
          <w:p w:rsidR="007F3F46" w:rsidRDefault="007F3F46" w:rsidP="007F3F46">
            <w:pPr>
              <w:pStyle w:val="ListParagraph"/>
              <w:ind w:left="0"/>
            </w:pPr>
          </w:p>
          <w:p w:rsidR="007F3F46" w:rsidRDefault="007F3F46" w:rsidP="007F3F46">
            <w:pPr>
              <w:pStyle w:val="ListParagraph"/>
              <w:ind w:left="0"/>
            </w:pPr>
          </w:p>
          <w:p w:rsidR="007F3F46" w:rsidRDefault="007F3F46" w:rsidP="007F3F46">
            <w:pPr>
              <w:pStyle w:val="ListParagraph"/>
              <w:ind w:left="0"/>
            </w:pPr>
          </w:p>
          <w:p w:rsidR="007F3F46" w:rsidRDefault="007F3F46" w:rsidP="007F3F46">
            <w:pPr>
              <w:pStyle w:val="ListParagraph"/>
              <w:ind w:left="0"/>
            </w:pPr>
          </w:p>
          <w:p w:rsidR="007F3F46" w:rsidRDefault="007F3F46" w:rsidP="007F3F46">
            <w:pPr>
              <w:pStyle w:val="ListParagraph"/>
              <w:ind w:left="0"/>
            </w:pPr>
          </w:p>
          <w:p w:rsidR="007F3F46" w:rsidRDefault="007F3F46" w:rsidP="007F3F46">
            <w:pPr>
              <w:pStyle w:val="ListParagraph"/>
              <w:ind w:left="0"/>
            </w:pPr>
          </w:p>
          <w:p w:rsidR="007F3F46" w:rsidRDefault="007F3F46" w:rsidP="007F3F46">
            <w:pPr>
              <w:pStyle w:val="ListParagraph"/>
              <w:ind w:left="0"/>
            </w:pPr>
          </w:p>
          <w:p w:rsidR="007F3F46" w:rsidRDefault="007F3F46" w:rsidP="007F3F46">
            <w:pPr>
              <w:pStyle w:val="ListParagraph"/>
              <w:ind w:left="0"/>
            </w:pPr>
          </w:p>
          <w:p w:rsidR="007F3F46" w:rsidRDefault="007F3F46" w:rsidP="007F3F46">
            <w:pPr>
              <w:pStyle w:val="ListParagraph"/>
              <w:ind w:left="0"/>
            </w:pPr>
          </w:p>
          <w:p w:rsidR="007F3F46" w:rsidRDefault="007F3F46" w:rsidP="007F3F46">
            <w:pPr>
              <w:pStyle w:val="ListParagraph"/>
              <w:ind w:left="0"/>
            </w:pPr>
          </w:p>
          <w:p w:rsidR="007F3F46" w:rsidRDefault="007F3F46" w:rsidP="007F3F46">
            <w:pPr>
              <w:pStyle w:val="ListParagraph"/>
              <w:ind w:left="0"/>
            </w:pPr>
            <w:r>
              <w:t>Comments noted.</w:t>
            </w:r>
          </w:p>
        </w:tc>
      </w:tr>
      <w:tr w:rsidR="007F3F46" w:rsidTr="007F3F46">
        <w:tc>
          <w:tcPr>
            <w:tcW w:w="1751" w:type="dxa"/>
          </w:tcPr>
          <w:p w:rsidR="007F3F46" w:rsidRDefault="007F3F46" w:rsidP="007F3F46">
            <w:pPr>
              <w:pStyle w:val="ListParagraph"/>
              <w:ind w:left="0"/>
            </w:pPr>
            <w:proofErr w:type="spellStart"/>
            <w:r>
              <w:t>FBO</w:t>
            </w:r>
            <w:proofErr w:type="spellEnd"/>
            <w:r>
              <w:t xml:space="preserve"> of approved wild game handling establishment (</w:t>
            </w:r>
            <w:proofErr w:type="spellStart"/>
            <w:r>
              <w:t>AGHE</w:t>
            </w:r>
            <w:proofErr w:type="spellEnd"/>
            <w:r>
              <w:t xml:space="preserve">) </w:t>
            </w:r>
          </w:p>
        </w:tc>
        <w:tc>
          <w:tcPr>
            <w:tcW w:w="3631" w:type="dxa"/>
            <w:shd w:val="clear" w:color="auto" w:fill="auto"/>
          </w:tcPr>
          <w:p w:rsidR="007F3F46" w:rsidRDefault="007F3F46" w:rsidP="007F3F46">
            <w:pPr>
              <w:pStyle w:val="ListParagraph"/>
              <w:ind w:left="0"/>
            </w:pPr>
            <w:r>
              <w:t xml:space="preserve">Agreed that the total list of identified affected sectors/groups was representative. </w:t>
            </w:r>
          </w:p>
          <w:p w:rsidR="007F3F46" w:rsidRDefault="007F3F46" w:rsidP="007F3F46">
            <w:pPr>
              <w:pStyle w:val="ListParagraph"/>
              <w:ind w:left="0"/>
            </w:pPr>
          </w:p>
          <w:p w:rsidR="007F3F46" w:rsidRDefault="007F3F46" w:rsidP="007F3F46">
            <w:pPr>
              <w:pStyle w:val="ListParagraph"/>
              <w:ind w:left="0"/>
            </w:pPr>
            <w:r>
              <w:t xml:space="preserve">Clarified that their </w:t>
            </w:r>
            <w:proofErr w:type="spellStart"/>
            <w:r>
              <w:t>AGHE</w:t>
            </w:r>
            <w:proofErr w:type="spellEnd"/>
            <w:r>
              <w:t xml:space="preserve"> is the one referenced in the BRIA as exceeding the threshold levels that have been set for “low-capacity” game handling establishments which may result in an estimated 35% increase in fees due to the requirement to have an </w:t>
            </w:r>
            <w:proofErr w:type="spellStart"/>
            <w:r>
              <w:t>OV</w:t>
            </w:r>
            <w:proofErr w:type="spellEnd"/>
            <w:r>
              <w:t xml:space="preserve"> </w:t>
            </w:r>
            <w:r>
              <w:lastRenderedPageBreak/>
              <w:t xml:space="preserve">carry out post-mortem inspection (PMI). Opined that this puts their establishment at a competitive disadvantage to all other </w:t>
            </w:r>
            <w:proofErr w:type="spellStart"/>
            <w:r>
              <w:t>AGHE's</w:t>
            </w:r>
            <w:proofErr w:type="spellEnd"/>
            <w:r>
              <w:t xml:space="preserve"> in Scotland and that they would sincerely hope that there would be some extra discount to ensure they’re not disadvantaged.</w:t>
            </w:r>
          </w:p>
        </w:tc>
        <w:tc>
          <w:tcPr>
            <w:tcW w:w="3634" w:type="dxa"/>
            <w:shd w:val="clear" w:color="auto" w:fill="auto"/>
          </w:tcPr>
          <w:p w:rsidR="007F3F46" w:rsidRDefault="007F3F46" w:rsidP="007F3F46">
            <w:pPr>
              <w:pStyle w:val="ListParagraph"/>
              <w:ind w:left="0"/>
            </w:pPr>
            <w:r>
              <w:lastRenderedPageBreak/>
              <w:t xml:space="preserve">Noted. </w:t>
            </w:r>
          </w:p>
          <w:p w:rsidR="007F3F46" w:rsidRDefault="007F3F46" w:rsidP="007F3F46">
            <w:pPr>
              <w:pStyle w:val="ListParagraph"/>
              <w:ind w:left="0"/>
            </w:pPr>
          </w:p>
          <w:p w:rsidR="007F3F46" w:rsidRDefault="007F3F46" w:rsidP="007F3F46">
            <w:pPr>
              <w:pStyle w:val="ListParagraph"/>
              <w:ind w:left="0"/>
            </w:pPr>
          </w:p>
          <w:p w:rsidR="007F3F46" w:rsidRDefault="007F3F46" w:rsidP="007F3F46">
            <w:pPr>
              <w:pStyle w:val="ListParagraph"/>
              <w:ind w:left="0"/>
            </w:pPr>
          </w:p>
          <w:p w:rsidR="007F3F46" w:rsidRDefault="007F3F46" w:rsidP="007F3F46">
            <w:pPr>
              <w:pStyle w:val="ListParagraph"/>
              <w:ind w:left="0"/>
            </w:pPr>
          </w:p>
          <w:p w:rsidR="007F3F46" w:rsidRDefault="007F3F46" w:rsidP="007F3F46">
            <w:pPr>
              <w:pStyle w:val="ListParagraph"/>
              <w:ind w:left="0"/>
            </w:pPr>
            <w:r>
              <w:t xml:space="preserve">FSS recognise certain aspects of the meat hygiene official controls contained within the OCR (2017/625) and the specific rules on official controls on </w:t>
            </w:r>
            <w:proofErr w:type="spellStart"/>
            <w:r>
              <w:t>POAO</w:t>
            </w:r>
            <w:proofErr w:type="spellEnd"/>
            <w:r>
              <w:t xml:space="preserve"> in Regulations 2019/624 and 2019/627 – which repeal and replace Regulation 854/2004 – require further </w:t>
            </w:r>
            <w:r>
              <w:lastRenderedPageBreak/>
              <w:t>analysis and risk assessment. These risk assessments include changes to PMI where meat hygiene inspectors (</w:t>
            </w:r>
            <w:proofErr w:type="spellStart"/>
            <w:r>
              <w:t>MHIs</w:t>
            </w:r>
            <w:proofErr w:type="spellEnd"/>
            <w:r>
              <w:t xml:space="preserve">) carry out PMI without the </w:t>
            </w:r>
            <w:proofErr w:type="spellStart"/>
            <w:r>
              <w:t>OV</w:t>
            </w:r>
            <w:proofErr w:type="spellEnd"/>
            <w:r>
              <w:t xml:space="preserve"> being present and where PMI is delayed. This analysis will be undertaken by FSS in collaboration with the FSA across the UK. Therefore, there will be no immediate change to current official control duties in these areas until this assessment takes place.</w:t>
            </w:r>
          </w:p>
          <w:p w:rsidR="007F3F46" w:rsidRDefault="007F3F46" w:rsidP="007F3F46">
            <w:pPr>
              <w:pStyle w:val="ListParagraph"/>
              <w:ind w:left="0"/>
            </w:pPr>
          </w:p>
        </w:tc>
      </w:tr>
      <w:tr w:rsidR="007F3F46" w:rsidTr="007F3F46">
        <w:tc>
          <w:tcPr>
            <w:tcW w:w="1751" w:type="dxa"/>
          </w:tcPr>
          <w:p w:rsidR="007F3F46" w:rsidRDefault="007F3F46" w:rsidP="007F3F46">
            <w:pPr>
              <w:pStyle w:val="ListParagraph"/>
              <w:ind w:left="0"/>
            </w:pPr>
            <w:r>
              <w:lastRenderedPageBreak/>
              <w:t>Food producer</w:t>
            </w:r>
          </w:p>
        </w:tc>
        <w:tc>
          <w:tcPr>
            <w:tcW w:w="3631" w:type="dxa"/>
            <w:shd w:val="clear" w:color="auto" w:fill="auto"/>
          </w:tcPr>
          <w:p w:rsidR="007F3F46" w:rsidRDefault="007F3F46" w:rsidP="007F3F46">
            <w:pPr>
              <w:pStyle w:val="ListParagraph"/>
              <w:ind w:left="0"/>
            </w:pPr>
            <w:r>
              <w:t xml:space="preserve">Partly agreed that the total list of identified affected sectors/groups was representative. </w:t>
            </w:r>
          </w:p>
          <w:p w:rsidR="007F3F46" w:rsidRDefault="007F3F46" w:rsidP="007F3F46">
            <w:pPr>
              <w:pStyle w:val="ListParagraph"/>
              <w:ind w:left="0"/>
            </w:pPr>
          </w:p>
          <w:p w:rsidR="007F3F46" w:rsidRDefault="007F3F46" w:rsidP="007F3F46">
            <w:pPr>
              <w:pStyle w:val="ListParagraph"/>
              <w:ind w:left="0"/>
            </w:pPr>
            <w:r>
              <w:t>Partly disagreed that a harmonised and coherent regulatory approach to official controls will deliver any benefits and/or cost savings to industry.</w:t>
            </w:r>
          </w:p>
          <w:p w:rsidR="007F3F46" w:rsidRDefault="007F3F46" w:rsidP="007F3F46">
            <w:pPr>
              <w:pStyle w:val="ListParagraph"/>
              <w:ind w:left="0"/>
            </w:pPr>
          </w:p>
        </w:tc>
        <w:tc>
          <w:tcPr>
            <w:tcW w:w="3634" w:type="dxa"/>
            <w:shd w:val="clear" w:color="auto" w:fill="auto"/>
          </w:tcPr>
          <w:p w:rsidR="007F3F46" w:rsidRDefault="007F3F46" w:rsidP="007F3F46">
            <w:pPr>
              <w:pStyle w:val="ListParagraph"/>
              <w:ind w:left="0"/>
            </w:pPr>
            <w:r>
              <w:t>Noted.</w:t>
            </w:r>
          </w:p>
          <w:p w:rsidR="007F3F46" w:rsidRDefault="007F3F46" w:rsidP="007F3F46">
            <w:pPr>
              <w:pStyle w:val="ListParagraph"/>
              <w:ind w:left="0"/>
            </w:pPr>
          </w:p>
          <w:p w:rsidR="007F3F46" w:rsidRDefault="007F3F46" w:rsidP="007F3F46">
            <w:pPr>
              <w:pStyle w:val="ListParagraph"/>
              <w:ind w:left="0"/>
            </w:pPr>
          </w:p>
          <w:p w:rsidR="007F3F46" w:rsidRDefault="007F3F46" w:rsidP="007F3F46">
            <w:pPr>
              <w:pStyle w:val="ListParagraph"/>
              <w:ind w:left="0"/>
            </w:pPr>
          </w:p>
          <w:p w:rsidR="007F3F46" w:rsidRDefault="007F3F46" w:rsidP="007F3F46">
            <w:pPr>
              <w:pStyle w:val="ListParagraph"/>
              <w:ind w:left="0"/>
            </w:pPr>
          </w:p>
          <w:p w:rsidR="007F3F46" w:rsidRDefault="007F3F46" w:rsidP="007F3F46">
            <w:pPr>
              <w:pStyle w:val="ListParagraph"/>
              <w:ind w:left="0"/>
            </w:pPr>
            <w:r>
              <w:t>Noted.</w:t>
            </w:r>
          </w:p>
        </w:tc>
      </w:tr>
    </w:tbl>
    <w:p w:rsidR="003670C3" w:rsidRDefault="003670C3" w:rsidP="003670C3">
      <w:pPr>
        <w:pStyle w:val="ListParagraph"/>
        <w:ind w:left="0"/>
        <w:jc w:val="both"/>
      </w:pPr>
    </w:p>
    <w:sectPr w:rsidR="003670C3" w:rsidSect="00805B13">
      <w:footerReference w:type="default" r:id="rId10"/>
      <w:pgSz w:w="11906" w:h="16838"/>
      <w:pgMar w:top="1440"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396" w:rsidRDefault="00187396" w:rsidP="007535DD">
      <w:pPr>
        <w:spacing w:after="0" w:line="240" w:lineRule="auto"/>
      </w:pPr>
      <w:r>
        <w:separator/>
      </w:r>
    </w:p>
  </w:endnote>
  <w:endnote w:type="continuationSeparator" w:id="0">
    <w:p w:rsidR="00187396" w:rsidRDefault="00187396" w:rsidP="00753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Neue MediumEx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lan-News">
    <w:panose1 w:val="02000503030000020004"/>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5838"/>
      <w:gridCol w:w="3188"/>
    </w:tblGrid>
    <w:tr w:rsidR="00187396" w:rsidRPr="00535FC3" w:rsidTr="005B3DBC">
      <w:tc>
        <w:tcPr>
          <w:tcW w:w="3234" w:type="pct"/>
          <w:shd w:val="clear" w:color="auto" w:fill="auto"/>
        </w:tcPr>
        <w:p w:rsidR="00187396" w:rsidRDefault="00187396" w:rsidP="007535DD">
          <w:pPr>
            <w:tabs>
              <w:tab w:val="right" w:pos="9907"/>
            </w:tabs>
            <w:spacing w:line="240" w:lineRule="exact"/>
            <w:rPr>
              <w:rFonts w:ascii="Arial" w:hAnsi="Arial" w:cs="Arial"/>
              <w:spacing w:val="-2"/>
              <w:sz w:val="19"/>
              <w:szCs w:val="19"/>
            </w:rPr>
          </w:pPr>
        </w:p>
        <w:p w:rsidR="00187396" w:rsidRPr="00B77EA3" w:rsidRDefault="00187396" w:rsidP="007535DD">
          <w:pPr>
            <w:tabs>
              <w:tab w:val="right" w:pos="9907"/>
            </w:tabs>
            <w:spacing w:line="240" w:lineRule="exact"/>
            <w:rPr>
              <w:rFonts w:asciiTheme="minorHAnsi" w:hAnsiTheme="minorHAnsi" w:cs="Arial"/>
              <w:spacing w:val="-2"/>
              <w:sz w:val="24"/>
              <w:szCs w:val="24"/>
            </w:rPr>
          </w:pPr>
          <w:r w:rsidRPr="00B77EA3">
            <w:rPr>
              <w:rFonts w:asciiTheme="minorHAnsi" w:hAnsiTheme="minorHAnsi" w:cs="Arial"/>
              <w:spacing w:val="-2"/>
              <w:sz w:val="24"/>
              <w:szCs w:val="24"/>
            </w:rPr>
            <w:t xml:space="preserve">Pilgrim House, Old Ford Road, Aberdeen, </w:t>
          </w:r>
          <w:proofErr w:type="spellStart"/>
          <w:r w:rsidRPr="00B77EA3">
            <w:rPr>
              <w:rFonts w:asciiTheme="minorHAnsi" w:hAnsiTheme="minorHAnsi" w:cs="Arial"/>
              <w:spacing w:val="-2"/>
              <w:sz w:val="24"/>
              <w:szCs w:val="24"/>
            </w:rPr>
            <w:t>AB11</w:t>
          </w:r>
          <w:proofErr w:type="spellEnd"/>
          <w:r w:rsidRPr="00B77EA3">
            <w:rPr>
              <w:rFonts w:asciiTheme="minorHAnsi" w:hAnsiTheme="minorHAnsi" w:cs="Arial"/>
              <w:spacing w:val="-2"/>
              <w:sz w:val="24"/>
              <w:szCs w:val="24"/>
            </w:rPr>
            <w:t xml:space="preserve"> </w:t>
          </w:r>
          <w:proofErr w:type="spellStart"/>
          <w:r w:rsidRPr="00B77EA3">
            <w:rPr>
              <w:rFonts w:asciiTheme="minorHAnsi" w:hAnsiTheme="minorHAnsi" w:cs="Arial"/>
              <w:spacing w:val="-2"/>
              <w:sz w:val="24"/>
              <w:szCs w:val="24"/>
            </w:rPr>
            <w:t>5RL</w:t>
          </w:r>
          <w:proofErr w:type="spellEnd"/>
          <w:r w:rsidRPr="00B77EA3">
            <w:rPr>
              <w:rFonts w:asciiTheme="minorHAnsi" w:hAnsiTheme="minorHAnsi" w:cs="Arial"/>
              <w:spacing w:val="-2"/>
              <w:sz w:val="24"/>
              <w:szCs w:val="24"/>
            </w:rPr>
            <w:br/>
          </w:r>
          <w:hyperlink r:id="rId1" w:history="1">
            <w:r w:rsidRPr="00345863">
              <w:rPr>
                <w:rStyle w:val="Hyperlink"/>
                <w:rFonts w:asciiTheme="minorHAnsi" w:hAnsiTheme="minorHAnsi" w:cs="Arial"/>
                <w:spacing w:val="-2"/>
                <w:sz w:val="24"/>
                <w:szCs w:val="24"/>
              </w:rPr>
              <w:t>www.foodstandards.gov.scot</w:t>
            </w:r>
          </w:hyperlink>
          <w:r w:rsidRPr="00B77EA3">
            <w:rPr>
              <w:rFonts w:asciiTheme="minorHAnsi" w:hAnsiTheme="minorHAnsi" w:cs="Arial"/>
              <w:spacing w:val="-2"/>
              <w:sz w:val="24"/>
              <w:szCs w:val="24"/>
            </w:rPr>
            <w:t xml:space="preserve"> </w:t>
          </w:r>
        </w:p>
      </w:tc>
      <w:tc>
        <w:tcPr>
          <w:tcW w:w="1766" w:type="pct"/>
          <w:shd w:val="clear" w:color="auto" w:fill="auto"/>
        </w:tcPr>
        <w:p w:rsidR="00187396" w:rsidRPr="00535FC3" w:rsidRDefault="00187396" w:rsidP="005B1C6E">
          <w:pPr>
            <w:tabs>
              <w:tab w:val="right" w:pos="9907"/>
            </w:tabs>
            <w:ind w:left="-6589" w:right="-18"/>
            <w:jc w:val="right"/>
            <w:rPr>
              <w:rFonts w:ascii="Clan-News" w:hAnsi="Clan-News"/>
              <w:sz w:val="19"/>
              <w:szCs w:val="19"/>
            </w:rPr>
          </w:pPr>
          <w:r>
            <w:rPr>
              <w:noProof/>
              <w:lang w:eastAsia="en-GB"/>
            </w:rPr>
            <w:drawing>
              <wp:inline distT="0" distB="0" distL="0" distR="0" wp14:anchorId="188CEBDB" wp14:editId="7140E4B5">
                <wp:extent cx="891723" cy="622748"/>
                <wp:effectExtent l="0" t="0" r="3810" b="6350"/>
                <wp:docPr id="3" name="Picture 3" descr="Scottish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ish logos"/>
                        <pic:cNvPicPr>
                          <a:picLocks noChangeAspect="1" noChangeArrowheads="1"/>
                        </pic:cNvPicPr>
                      </pic:nvPicPr>
                      <pic:blipFill>
                        <a:blip r:embed="rId2">
                          <a:extLst>
                            <a:ext uri="{28A0092B-C50C-407E-A947-70E740481C1C}">
                              <a14:useLocalDpi xmlns:a14="http://schemas.microsoft.com/office/drawing/2010/main" val="0"/>
                            </a:ext>
                          </a:extLst>
                        </a:blip>
                        <a:srcRect r="73259"/>
                        <a:stretch>
                          <a:fillRect/>
                        </a:stretch>
                      </pic:blipFill>
                      <pic:spPr bwMode="auto">
                        <a:xfrm>
                          <a:off x="0" y="0"/>
                          <a:ext cx="904275" cy="631514"/>
                        </a:xfrm>
                        <a:prstGeom prst="rect">
                          <a:avLst/>
                        </a:prstGeom>
                        <a:noFill/>
                        <a:ln>
                          <a:noFill/>
                        </a:ln>
                      </pic:spPr>
                    </pic:pic>
                  </a:graphicData>
                </a:graphic>
              </wp:inline>
            </w:drawing>
          </w:r>
          <w:r>
            <w:rPr>
              <w:noProof/>
              <w:lang w:eastAsia="en-GB"/>
            </w:rPr>
            <w:drawing>
              <wp:inline distT="0" distB="0" distL="0" distR="0" wp14:anchorId="6192DDC7" wp14:editId="5A52F608">
                <wp:extent cx="744146" cy="744146"/>
                <wp:effectExtent l="0" t="0" r="0" b="0"/>
                <wp:docPr id="4" name="Picture 4" descr="http://www.brandsoftheworld.com/sites/default/files/styles/logo-original-577x577/public/0017/7147/b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ndsoftheworld.com/sites/default/files/styles/logo-original-577x577/public/0017/7147/brand.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668" cy="751668"/>
                        </a:xfrm>
                        <a:prstGeom prst="rect">
                          <a:avLst/>
                        </a:prstGeom>
                        <a:noFill/>
                        <a:ln>
                          <a:noFill/>
                        </a:ln>
                      </pic:spPr>
                    </pic:pic>
                  </a:graphicData>
                </a:graphic>
              </wp:inline>
            </w:drawing>
          </w:r>
          <w:r w:rsidRPr="00535FC3">
            <w:rPr>
              <w:rFonts w:ascii="Arial" w:hAnsi="Arial"/>
              <w:szCs w:val="24"/>
            </w:rPr>
            <w:t xml:space="preserve"> </w:t>
          </w:r>
        </w:p>
      </w:tc>
    </w:tr>
  </w:tbl>
  <w:p w:rsidR="00187396" w:rsidRDefault="00187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396" w:rsidRDefault="00187396" w:rsidP="007535DD">
      <w:pPr>
        <w:spacing w:after="0" w:line="240" w:lineRule="auto"/>
      </w:pPr>
      <w:r>
        <w:separator/>
      </w:r>
    </w:p>
  </w:footnote>
  <w:footnote w:type="continuationSeparator" w:id="0">
    <w:p w:rsidR="00187396" w:rsidRDefault="00187396" w:rsidP="007535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4615"/>
    <w:multiLevelType w:val="hybridMultilevel"/>
    <w:tmpl w:val="A7CCA6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AA918FF"/>
    <w:multiLevelType w:val="multilevel"/>
    <w:tmpl w:val="8AE4D1C2"/>
    <w:lvl w:ilvl="0">
      <w:start w:val="1"/>
      <w:numFmt w:val="decimal"/>
      <w:lvlText w:val="%1"/>
      <w:lvlJc w:val="left"/>
      <w:pPr>
        <w:ind w:left="794" w:hanging="794"/>
      </w:pPr>
      <w:rPr>
        <w:rFonts w:hint="default"/>
      </w:rPr>
    </w:lvl>
    <w:lvl w:ilvl="1">
      <w:start w:val="1"/>
      <w:numFmt w:val="decimal"/>
      <w:lvlText w:val="%1.%2"/>
      <w:lvlJc w:val="left"/>
      <w:pPr>
        <w:ind w:left="709" w:hanging="709"/>
      </w:pPr>
      <w:rPr>
        <w:rFonts w:hint="default"/>
        <w:b w:val="0"/>
        <w:i w:val="0"/>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 w15:restartNumberingAfterBreak="0">
    <w:nsid w:val="0F835443"/>
    <w:multiLevelType w:val="hybridMultilevel"/>
    <w:tmpl w:val="BA443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577B6B"/>
    <w:multiLevelType w:val="hybridMultilevel"/>
    <w:tmpl w:val="5E1AA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6255AC"/>
    <w:multiLevelType w:val="hybridMultilevel"/>
    <w:tmpl w:val="CC72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D2A4B"/>
    <w:multiLevelType w:val="hybridMultilevel"/>
    <w:tmpl w:val="5C5A4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5E00121"/>
    <w:multiLevelType w:val="hybridMultilevel"/>
    <w:tmpl w:val="0F0E0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E6C765F"/>
    <w:multiLevelType w:val="hybridMultilevel"/>
    <w:tmpl w:val="EF8C8010"/>
    <w:lvl w:ilvl="0" w:tplc="AAAE8112">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4573180E"/>
    <w:multiLevelType w:val="hybridMultilevel"/>
    <w:tmpl w:val="BC746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DB053B"/>
    <w:multiLevelType w:val="hybridMultilevel"/>
    <w:tmpl w:val="CBD2B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3115C"/>
    <w:multiLevelType w:val="hybridMultilevel"/>
    <w:tmpl w:val="3BBCFCE2"/>
    <w:lvl w:ilvl="0" w:tplc="0809000F">
      <w:start w:val="1"/>
      <w:numFmt w:val="decimal"/>
      <w:lvlText w:val="%1."/>
      <w:lvlJc w:val="left"/>
      <w:pPr>
        <w:ind w:left="153" w:hanging="360"/>
      </w:pPr>
    </w:lvl>
    <w:lvl w:ilvl="1" w:tplc="08090019">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1" w15:restartNumberingAfterBreak="0">
    <w:nsid w:val="51EE51FC"/>
    <w:multiLevelType w:val="hybridMultilevel"/>
    <w:tmpl w:val="CD526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7117E46"/>
    <w:multiLevelType w:val="hybridMultilevel"/>
    <w:tmpl w:val="E48C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B32AC9"/>
    <w:multiLevelType w:val="hybridMultilevel"/>
    <w:tmpl w:val="442252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83F3F"/>
    <w:multiLevelType w:val="hybridMultilevel"/>
    <w:tmpl w:val="43A80CA4"/>
    <w:lvl w:ilvl="0" w:tplc="08090001">
      <w:start w:val="1"/>
      <w:numFmt w:val="bullet"/>
      <w:lvlText w:val=""/>
      <w:lvlJc w:val="left"/>
      <w:pPr>
        <w:ind w:left="1174" w:hanging="587"/>
      </w:pPr>
      <w:rPr>
        <w:rFonts w:ascii="Symbol" w:hAnsi="Symbol" w:hint="default"/>
        <w:b w:val="0"/>
      </w:rPr>
    </w:lvl>
    <w:lvl w:ilvl="1" w:tplc="08090001">
      <w:start w:val="1"/>
      <w:numFmt w:val="bullet"/>
      <w:lvlText w:val=""/>
      <w:lvlJc w:val="left"/>
      <w:pPr>
        <w:ind w:left="2311" w:hanging="360"/>
      </w:pPr>
      <w:rPr>
        <w:rFonts w:ascii="Symbol" w:hAnsi="Symbol" w:hint="default"/>
      </w:rPr>
    </w:lvl>
    <w:lvl w:ilvl="2" w:tplc="0809001B" w:tentative="1">
      <w:start w:val="1"/>
      <w:numFmt w:val="lowerRoman"/>
      <w:lvlText w:val="%3."/>
      <w:lvlJc w:val="right"/>
      <w:pPr>
        <w:ind w:left="3031" w:hanging="180"/>
      </w:pPr>
    </w:lvl>
    <w:lvl w:ilvl="3" w:tplc="0809000F">
      <w:start w:val="1"/>
      <w:numFmt w:val="decimal"/>
      <w:lvlText w:val="%4."/>
      <w:lvlJc w:val="left"/>
      <w:pPr>
        <w:ind w:left="1372" w:hanging="360"/>
      </w:pPr>
    </w:lvl>
    <w:lvl w:ilvl="4" w:tplc="08090019" w:tentative="1">
      <w:start w:val="1"/>
      <w:numFmt w:val="lowerLetter"/>
      <w:lvlText w:val="%5."/>
      <w:lvlJc w:val="left"/>
      <w:pPr>
        <w:ind w:left="4471" w:hanging="360"/>
      </w:pPr>
    </w:lvl>
    <w:lvl w:ilvl="5" w:tplc="0809001B" w:tentative="1">
      <w:start w:val="1"/>
      <w:numFmt w:val="lowerRoman"/>
      <w:lvlText w:val="%6."/>
      <w:lvlJc w:val="right"/>
      <w:pPr>
        <w:ind w:left="5191" w:hanging="180"/>
      </w:pPr>
    </w:lvl>
    <w:lvl w:ilvl="6" w:tplc="0809000F">
      <w:start w:val="1"/>
      <w:numFmt w:val="decimal"/>
      <w:lvlText w:val="%7."/>
      <w:lvlJc w:val="left"/>
      <w:pPr>
        <w:ind w:left="1372" w:hanging="360"/>
      </w:pPr>
    </w:lvl>
    <w:lvl w:ilvl="7" w:tplc="08090019" w:tentative="1">
      <w:start w:val="1"/>
      <w:numFmt w:val="lowerLetter"/>
      <w:lvlText w:val="%8."/>
      <w:lvlJc w:val="left"/>
      <w:pPr>
        <w:ind w:left="6631" w:hanging="360"/>
      </w:pPr>
    </w:lvl>
    <w:lvl w:ilvl="8" w:tplc="0809001B" w:tentative="1">
      <w:start w:val="1"/>
      <w:numFmt w:val="lowerRoman"/>
      <w:lvlText w:val="%9."/>
      <w:lvlJc w:val="right"/>
      <w:pPr>
        <w:ind w:left="7351" w:hanging="180"/>
      </w:pPr>
    </w:lvl>
  </w:abstractNum>
  <w:abstractNum w:abstractNumId="15" w15:restartNumberingAfterBreak="0">
    <w:nsid w:val="681E141C"/>
    <w:multiLevelType w:val="hybridMultilevel"/>
    <w:tmpl w:val="387E860A"/>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6" w15:restartNumberingAfterBreak="0">
    <w:nsid w:val="6F8637B0"/>
    <w:multiLevelType w:val="hybridMultilevel"/>
    <w:tmpl w:val="0CFA4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43735DE"/>
    <w:multiLevelType w:val="hybridMultilevel"/>
    <w:tmpl w:val="44225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C061A0"/>
    <w:multiLevelType w:val="hybridMultilevel"/>
    <w:tmpl w:val="1AF8E09C"/>
    <w:lvl w:ilvl="0" w:tplc="47806FB2">
      <w:start w:val="1"/>
      <w:numFmt w:val="decimal"/>
      <w:lvlText w:val="%1."/>
      <w:lvlJc w:val="left"/>
      <w:pPr>
        <w:ind w:left="644" w:hanging="360"/>
      </w:pPr>
      <w:rPr>
        <w:rFonts w:hint="default"/>
        <w:b w:val="0"/>
      </w:rPr>
    </w:lvl>
    <w:lvl w:ilvl="1" w:tplc="F698D7C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5303DD"/>
    <w:multiLevelType w:val="hybridMultilevel"/>
    <w:tmpl w:val="DD743F6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19"/>
  </w:num>
  <w:num w:numId="2">
    <w:abstractNumId w:val="0"/>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5"/>
  </w:num>
  <w:num w:numId="7">
    <w:abstractNumId w:val="7"/>
  </w:num>
  <w:num w:numId="8">
    <w:abstractNumId w:val="4"/>
  </w:num>
  <w:num w:numId="9">
    <w:abstractNumId w:val="6"/>
  </w:num>
  <w:num w:numId="10">
    <w:abstractNumId w:val="2"/>
  </w:num>
  <w:num w:numId="11">
    <w:abstractNumId w:val="11"/>
  </w:num>
  <w:num w:numId="12">
    <w:abstractNumId w:val="13"/>
  </w:num>
  <w:num w:numId="13">
    <w:abstractNumId w:val="15"/>
  </w:num>
  <w:num w:numId="14">
    <w:abstractNumId w:val="17"/>
  </w:num>
  <w:num w:numId="15">
    <w:abstractNumId w:val="18"/>
  </w:num>
  <w:num w:numId="16">
    <w:abstractNumId w:val="10"/>
  </w:num>
  <w:num w:numId="17">
    <w:abstractNumId w:val="1"/>
  </w:num>
  <w:num w:numId="18">
    <w:abstractNumId w:val="8"/>
  </w:num>
  <w:num w:numId="19">
    <w:abstractNumId w:val="14"/>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DD"/>
    <w:rsid w:val="00000D59"/>
    <w:rsid w:val="00014B0D"/>
    <w:rsid w:val="000223FB"/>
    <w:rsid w:val="00056198"/>
    <w:rsid w:val="00056825"/>
    <w:rsid w:val="00065346"/>
    <w:rsid w:val="000A74C5"/>
    <w:rsid w:val="000B491B"/>
    <w:rsid w:val="000C0BD0"/>
    <w:rsid w:val="00121881"/>
    <w:rsid w:val="001268D1"/>
    <w:rsid w:val="00151473"/>
    <w:rsid w:val="001762F3"/>
    <w:rsid w:val="00187396"/>
    <w:rsid w:val="001A5CFE"/>
    <w:rsid w:val="001D4340"/>
    <w:rsid w:val="001E016C"/>
    <w:rsid w:val="001F3CBB"/>
    <w:rsid w:val="001F776A"/>
    <w:rsid w:val="00226C18"/>
    <w:rsid w:val="0023370A"/>
    <w:rsid w:val="002607B1"/>
    <w:rsid w:val="00282B77"/>
    <w:rsid w:val="002A7D8F"/>
    <w:rsid w:val="002B4A5D"/>
    <w:rsid w:val="002B6F7F"/>
    <w:rsid w:val="00301275"/>
    <w:rsid w:val="003133D5"/>
    <w:rsid w:val="003174FE"/>
    <w:rsid w:val="00327AF3"/>
    <w:rsid w:val="003670C3"/>
    <w:rsid w:val="00376D4D"/>
    <w:rsid w:val="00384502"/>
    <w:rsid w:val="00391393"/>
    <w:rsid w:val="0040488F"/>
    <w:rsid w:val="0042338E"/>
    <w:rsid w:val="0045484A"/>
    <w:rsid w:val="00455EA9"/>
    <w:rsid w:val="00457F2F"/>
    <w:rsid w:val="004B556A"/>
    <w:rsid w:val="005344AB"/>
    <w:rsid w:val="00535FC3"/>
    <w:rsid w:val="00564B86"/>
    <w:rsid w:val="00587490"/>
    <w:rsid w:val="005946DD"/>
    <w:rsid w:val="0059530F"/>
    <w:rsid w:val="0059671E"/>
    <w:rsid w:val="005A4C82"/>
    <w:rsid w:val="005A7FC8"/>
    <w:rsid w:val="005B1C6E"/>
    <w:rsid w:val="005B3DBC"/>
    <w:rsid w:val="005C1E48"/>
    <w:rsid w:val="005D3EA1"/>
    <w:rsid w:val="005E0C41"/>
    <w:rsid w:val="005F054C"/>
    <w:rsid w:val="00602BBB"/>
    <w:rsid w:val="00616EDB"/>
    <w:rsid w:val="00624629"/>
    <w:rsid w:val="00634AAF"/>
    <w:rsid w:val="00660DE2"/>
    <w:rsid w:val="006723E7"/>
    <w:rsid w:val="00681B3A"/>
    <w:rsid w:val="006E17A8"/>
    <w:rsid w:val="00706084"/>
    <w:rsid w:val="00707738"/>
    <w:rsid w:val="00732DC5"/>
    <w:rsid w:val="007535DD"/>
    <w:rsid w:val="007767BF"/>
    <w:rsid w:val="0078478C"/>
    <w:rsid w:val="007911A6"/>
    <w:rsid w:val="007C39DE"/>
    <w:rsid w:val="007F3F46"/>
    <w:rsid w:val="007F5642"/>
    <w:rsid w:val="007F62E9"/>
    <w:rsid w:val="007F7E16"/>
    <w:rsid w:val="00803AF5"/>
    <w:rsid w:val="00805B13"/>
    <w:rsid w:val="0080735F"/>
    <w:rsid w:val="00823ADE"/>
    <w:rsid w:val="00851BF9"/>
    <w:rsid w:val="00854D82"/>
    <w:rsid w:val="00860D24"/>
    <w:rsid w:val="00872EAD"/>
    <w:rsid w:val="00884E8B"/>
    <w:rsid w:val="008C6AF6"/>
    <w:rsid w:val="008E7F29"/>
    <w:rsid w:val="00912BEB"/>
    <w:rsid w:val="0092673E"/>
    <w:rsid w:val="00933952"/>
    <w:rsid w:val="009413D8"/>
    <w:rsid w:val="00953DCD"/>
    <w:rsid w:val="00963398"/>
    <w:rsid w:val="00966C2C"/>
    <w:rsid w:val="00970778"/>
    <w:rsid w:val="009A11CB"/>
    <w:rsid w:val="009C0C80"/>
    <w:rsid w:val="009D20C4"/>
    <w:rsid w:val="009F6731"/>
    <w:rsid w:val="00A13684"/>
    <w:rsid w:val="00A40500"/>
    <w:rsid w:val="00A40A58"/>
    <w:rsid w:val="00A41FF3"/>
    <w:rsid w:val="00A6645F"/>
    <w:rsid w:val="00A712E2"/>
    <w:rsid w:val="00A97907"/>
    <w:rsid w:val="00AA13AE"/>
    <w:rsid w:val="00AB4858"/>
    <w:rsid w:val="00AC7014"/>
    <w:rsid w:val="00B04C3D"/>
    <w:rsid w:val="00B30189"/>
    <w:rsid w:val="00B33952"/>
    <w:rsid w:val="00B35835"/>
    <w:rsid w:val="00B42708"/>
    <w:rsid w:val="00B473B2"/>
    <w:rsid w:val="00B5679E"/>
    <w:rsid w:val="00B66CBC"/>
    <w:rsid w:val="00B67B9D"/>
    <w:rsid w:val="00B77EA3"/>
    <w:rsid w:val="00B945A8"/>
    <w:rsid w:val="00BD05A9"/>
    <w:rsid w:val="00BD409A"/>
    <w:rsid w:val="00BD78DC"/>
    <w:rsid w:val="00BE1FDB"/>
    <w:rsid w:val="00BF0F4C"/>
    <w:rsid w:val="00BF75B4"/>
    <w:rsid w:val="00C02ACC"/>
    <w:rsid w:val="00C0603A"/>
    <w:rsid w:val="00C3356D"/>
    <w:rsid w:val="00C56F75"/>
    <w:rsid w:val="00C708FC"/>
    <w:rsid w:val="00C764FC"/>
    <w:rsid w:val="00C86E39"/>
    <w:rsid w:val="00C9181F"/>
    <w:rsid w:val="00CB24BE"/>
    <w:rsid w:val="00D02DC5"/>
    <w:rsid w:val="00D47859"/>
    <w:rsid w:val="00D626B5"/>
    <w:rsid w:val="00D82B95"/>
    <w:rsid w:val="00D95BB7"/>
    <w:rsid w:val="00DA6AF8"/>
    <w:rsid w:val="00DD73DE"/>
    <w:rsid w:val="00E00EB3"/>
    <w:rsid w:val="00E25ECC"/>
    <w:rsid w:val="00E26302"/>
    <w:rsid w:val="00E31840"/>
    <w:rsid w:val="00E53717"/>
    <w:rsid w:val="00E7608E"/>
    <w:rsid w:val="00E87D4C"/>
    <w:rsid w:val="00ED0967"/>
    <w:rsid w:val="00ED1A92"/>
    <w:rsid w:val="00EF788D"/>
    <w:rsid w:val="00F07122"/>
    <w:rsid w:val="00F36A73"/>
    <w:rsid w:val="00F568D8"/>
    <w:rsid w:val="00F627E2"/>
    <w:rsid w:val="00F945B1"/>
    <w:rsid w:val="00FA3077"/>
    <w:rsid w:val="00FA5CF3"/>
    <w:rsid w:val="00FD064E"/>
    <w:rsid w:val="00FD1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0549"/>
  <w15:docId w15:val="{8198FA54-5F75-4A24-859C-72D812C9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C02ACC"/>
    <w:pPr>
      <w:keepNext/>
      <w:spacing w:after="0" w:line="240" w:lineRule="auto"/>
      <w:outlineLvl w:val="0"/>
    </w:pPr>
    <w:rPr>
      <w:rFonts w:ascii="HelveticaNeue MediumExt" w:eastAsia="Times New Roman" w:hAnsi="HelveticaNeue MediumExt"/>
      <w:b/>
      <w:sz w:val="4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5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35DD"/>
    <w:rPr>
      <w:rFonts w:ascii="Tahoma" w:hAnsi="Tahoma" w:cs="Tahoma"/>
      <w:sz w:val="16"/>
      <w:szCs w:val="16"/>
    </w:rPr>
  </w:style>
  <w:style w:type="table" w:styleId="TableGrid">
    <w:name w:val="Table Grid"/>
    <w:basedOn w:val="TableNormal"/>
    <w:uiPriority w:val="39"/>
    <w:rsid w:val="00753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5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5DD"/>
  </w:style>
  <w:style w:type="paragraph" w:styleId="Footer">
    <w:name w:val="footer"/>
    <w:basedOn w:val="Normal"/>
    <w:link w:val="FooterChar"/>
    <w:uiPriority w:val="99"/>
    <w:unhideWhenUsed/>
    <w:rsid w:val="0075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5DD"/>
  </w:style>
  <w:style w:type="paragraph" w:styleId="NormalWeb">
    <w:name w:val="Normal (Web)"/>
    <w:basedOn w:val="Normal"/>
    <w:uiPriority w:val="99"/>
    <w:rsid w:val="005874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36A73"/>
    <w:rPr>
      <w:color w:val="0000FF" w:themeColor="hyperlink"/>
      <w:u w:val="single"/>
    </w:rPr>
  </w:style>
  <w:style w:type="paragraph" w:styleId="ListParagraph">
    <w:name w:val="List Paragraph"/>
    <w:aliases w:val="Dot pt,No Spacing1,List Paragraph Char Char Char,Indicator Text,Numbered Para 1,List Paragraph1,Bullet 1,Bullet Points,MAIN CONTENT,Colorful List - Accent 11,F5 List Paragraph,List Paragraph2,List Paragraph12,Bullet Style,Normal numbered"/>
    <w:basedOn w:val="Normal"/>
    <w:link w:val="ListParagraphChar"/>
    <w:uiPriority w:val="34"/>
    <w:qFormat/>
    <w:rsid w:val="0059530F"/>
    <w:pPr>
      <w:spacing w:after="0" w:line="240" w:lineRule="auto"/>
      <w:ind w:left="720"/>
      <w:contextualSpacing/>
    </w:pPr>
    <w:rPr>
      <w:rFonts w:ascii="Arial" w:eastAsia="Times New Roman" w:hAnsi="Arial"/>
      <w:sz w:val="24"/>
      <w:szCs w:val="24"/>
      <w:lang w:eastAsia="en-GB"/>
    </w:rPr>
  </w:style>
  <w:style w:type="paragraph" w:customStyle="1" w:styleId="Default">
    <w:name w:val="Default"/>
    <w:rsid w:val="005344AB"/>
    <w:pPr>
      <w:autoSpaceDE w:val="0"/>
      <w:autoSpaceDN w:val="0"/>
      <w:adjustRightInd w:val="0"/>
    </w:pPr>
    <w:rPr>
      <w:rFonts w:ascii="Arial" w:hAnsi="Arial" w:cs="Arial"/>
      <w:color w:val="000000"/>
      <w:sz w:val="24"/>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Colorful List - Accent 11 Char,F5 List Paragraph Char"/>
    <w:link w:val="ListParagraph"/>
    <w:uiPriority w:val="34"/>
    <w:qFormat/>
    <w:locked/>
    <w:rsid w:val="00B5679E"/>
    <w:rPr>
      <w:rFonts w:ascii="Arial" w:eastAsia="Times New Roman" w:hAnsi="Arial"/>
      <w:sz w:val="24"/>
      <w:szCs w:val="24"/>
    </w:rPr>
  </w:style>
  <w:style w:type="character" w:styleId="FollowedHyperlink">
    <w:name w:val="FollowedHyperlink"/>
    <w:basedOn w:val="DefaultParagraphFont"/>
    <w:uiPriority w:val="99"/>
    <w:semiHidden/>
    <w:unhideWhenUsed/>
    <w:rsid w:val="006E17A8"/>
    <w:rPr>
      <w:color w:val="800080" w:themeColor="followedHyperlink"/>
      <w:u w:val="single"/>
    </w:rPr>
  </w:style>
  <w:style w:type="paragraph" w:styleId="BodyText2">
    <w:name w:val="Body Text 2"/>
    <w:basedOn w:val="Normal"/>
    <w:link w:val="BodyText2Char"/>
    <w:rsid w:val="00C02ACC"/>
    <w:pPr>
      <w:spacing w:after="0" w:line="240" w:lineRule="auto"/>
      <w:jc w:val="both"/>
    </w:pPr>
    <w:rPr>
      <w:rFonts w:ascii="Arial" w:eastAsia="Times New Roman" w:hAnsi="Arial"/>
      <w:b/>
      <w:sz w:val="24"/>
      <w:szCs w:val="20"/>
      <w:lang w:eastAsia="en-GB"/>
    </w:rPr>
  </w:style>
  <w:style w:type="character" w:customStyle="1" w:styleId="BodyText2Char">
    <w:name w:val="Body Text 2 Char"/>
    <w:basedOn w:val="DefaultParagraphFont"/>
    <w:link w:val="BodyText2"/>
    <w:rsid w:val="00C02ACC"/>
    <w:rPr>
      <w:rFonts w:ascii="Arial" w:eastAsia="Times New Roman" w:hAnsi="Arial"/>
      <w:b/>
      <w:sz w:val="24"/>
    </w:rPr>
  </w:style>
  <w:style w:type="paragraph" w:styleId="FootnoteText">
    <w:name w:val="footnote text"/>
    <w:basedOn w:val="Normal"/>
    <w:link w:val="FootnoteTextChar"/>
    <w:uiPriority w:val="99"/>
    <w:unhideWhenUsed/>
    <w:rsid w:val="00C02ACC"/>
    <w:pPr>
      <w:spacing w:after="0" w:line="240" w:lineRule="auto"/>
    </w:pPr>
    <w:rPr>
      <w:sz w:val="20"/>
      <w:szCs w:val="20"/>
    </w:rPr>
  </w:style>
  <w:style w:type="character" w:customStyle="1" w:styleId="FootnoteTextChar">
    <w:name w:val="Footnote Text Char"/>
    <w:basedOn w:val="DefaultParagraphFont"/>
    <w:link w:val="FootnoteText"/>
    <w:uiPriority w:val="99"/>
    <w:rsid w:val="00C02ACC"/>
    <w:rPr>
      <w:lang w:eastAsia="en-US"/>
    </w:rPr>
  </w:style>
  <w:style w:type="character" w:styleId="FootnoteReference">
    <w:name w:val="footnote reference"/>
    <w:basedOn w:val="DefaultParagraphFont"/>
    <w:uiPriority w:val="99"/>
    <w:semiHidden/>
    <w:unhideWhenUsed/>
    <w:rsid w:val="00C02ACC"/>
    <w:rPr>
      <w:vertAlign w:val="superscript"/>
    </w:rPr>
  </w:style>
  <w:style w:type="character" w:customStyle="1" w:styleId="Heading1Char">
    <w:name w:val="Heading 1 Char"/>
    <w:basedOn w:val="DefaultParagraphFont"/>
    <w:link w:val="Heading1"/>
    <w:rsid w:val="00C02ACC"/>
    <w:rPr>
      <w:rFonts w:ascii="HelveticaNeue MediumExt" w:eastAsia="Times New Roman" w:hAnsi="HelveticaNeue MediumExt"/>
      <w:b/>
      <w:sz w:val="40"/>
    </w:rPr>
  </w:style>
  <w:style w:type="paragraph" w:customStyle="1" w:styleId="LQT1">
    <w:name w:val="LQT1"/>
    <w:basedOn w:val="Normal"/>
    <w:rsid w:val="00681B3A"/>
    <w:pPr>
      <w:spacing w:before="160" w:after="0" w:line="220" w:lineRule="atLeast"/>
      <w:ind w:left="567"/>
      <w:jc w:val="both"/>
    </w:pPr>
    <w:rPr>
      <w:rFonts w:ascii="Times New Roman" w:eastAsia="Times New Roman" w:hAnsi="Times New Roman"/>
      <w:sz w:val="21"/>
      <w:szCs w:val="20"/>
    </w:rPr>
  </w:style>
  <w:style w:type="paragraph" w:customStyle="1" w:styleId="LQDefPara">
    <w:name w:val="LQ Def Para"/>
    <w:basedOn w:val="Normal"/>
    <w:rsid w:val="00681B3A"/>
    <w:pPr>
      <w:spacing w:before="80" w:after="0" w:line="220" w:lineRule="atLeast"/>
      <w:ind w:left="907"/>
      <w:jc w:val="both"/>
    </w:pPr>
    <w:rPr>
      <w:rFonts w:ascii="Times New Roman" w:eastAsia="Times New Roman" w:hAnsi="Times New Roman"/>
      <w:sz w:val="21"/>
      <w:szCs w:val="20"/>
    </w:rPr>
  </w:style>
  <w:style w:type="paragraph" w:customStyle="1" w:styleId="EBBullet">
    <w:name w:val="EBBullet"/>
    <w:basedOn w:val="BodyText"/>
    <w:rsid w:val="00E87D4C"/>
    <w:pPr>
      <w:spacing w:line="240" w:lineRule="auto"/>
    </w:pPr>
    <w:rPr>
      <w:rFonts w:ascii="Arial" w:eastAsia="Times New Roman" w:hAnsi="Arial" w:cs="Arial"/>
      <w:bCs/>
      <w:color w:val="000000"/>
      <w:lang w:eastAsia="en-GB"/>
    </w:rPr>
  </w:style>
  <w:style w:type="paragraph" w:styleId="BodyText">
    <w:name w:val="Body Text"/>
    <w:basedOn w:val="Normal"/>
    <w:link w:val="BodyTextChar"/>
    <w:uiPriority w:val="99"/>
    <w:semiHidden/>
    <w:unhideWhenUsed/>
    <w:rsid w:val="00E87D4C"/>
    <w:pPr>
      <w:spacing w:after="120"/>
    </w:pPr>
  </w:style>
  <w:style w:type="character" w:customStyle="1" w:styleId="BodyTextChar">
    <w:name w:val="Body Text Char"/>
    <w:basedOn w:val="DefaultParagraphFont"/>
    <w:link w:val="BodyText"/>
    <w:uiPriority w:val="99"/>
    <w:semiHidden/>
    <w:rsid w:val="00E87D4C"/>
    <w:rPr>
      <w:sz w:val="22"/>
      <w:szCs w:val="22"/>
      <w:lang w:eastAsia="en-US"/>
    </w:rPr>
  </w:style>
  <w:style w:type="paragraph" w:styleId="CommentText">
    <w:name w:val="annotation text"/>
    <w:basedOn w:val="Normal"/>
    <w:link w:val="CommentTextChar"/>
    <w:uiPriority w:val="99"/>
    <w:semiHidden/>
    <w:unhideWhenUsed/>
    <w:rsid w:val="00803AF5"/>
    <w:pPr>
      <w:spacing w:after="160" w:line="240" w:lineRule="auto"/>
    </w:pPr>
    <w:rPr>
      <w:rFonts w:ascii="Arial" w:eastAsiaTheme="minorHAnsi" w:hAnsi="Arial" w:cstheme="minorBidi"/>
      <w:sz w:val="20"/>
      <w:szCs w:val="20"/>
    </w:rPr>
  </w:style>
  <w:style w:type="character" w:customStyle="1" w:styleId="CommentTextChar">
    <w:name w:val="Comment Text Char"/>
    <w:basedOn w:val="DefaultParagraphFont"/>
    <w:link w:val="CommentText"/>
    <w:uiPriority w:val="99"/>
    <w:semiHidden/>
    <w:rsid w:val="00803AF5"/>
    <w:rPr>
      <w:rFonts w:ascii="Arial" w:eastAsiaTheme="minorHAnsi" w:hAnsi="Arial"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55645">
      <w:bodyDiv w:val="1"/>
      <w:marLeft w:val="0"/>
      <w:marRight w:val="0"/>
      <w:marTop w:val="0"/>
      <w:marBottom w:val="0"/>
      <w:divBdr>
        <w:top w:val="none" w:sz="0" w:space="0" w:color="auto"/>
        <w:left w:val="none" w:sz="0" w:space="0" w:color="auto"/>
        <w:bottom w:val="none" w:sz="0" w:space="0" w:color="auto"/>
        <w:right w:val="none" w:sz="0" w:space="0" w:color="auto"/>
      </w:divBdr>
    </w:div>
    <w:div w:id="163863248">
      <w:bodyDiv w:val="1"/>
      <w:marLeft w:val="0"/>
      <w:marRight w:val="0"/>
      <w:marTop w:val="0"/>
      <w:marBottom w:val="0"/>
      <w:divBdr>
        <w:top w:val="none" w:sz="0" w:space="0" w:color="auto"/>
        <w:left w:val="none" w:sz="0" w:space="0" w:color="auto"/>
        <w:bottom w:val="none" w:sz="0" w:space="0" w:color="auto"/>
        <w:right w:val="none" w:sz="0" w:space="0" w:color="auto"/>
      </w:divBdr>
    </w:div>
    <w:div w:id="217671462">
      <w:bodyDiv w:val="1"/>
      <w:marLeft w:val="0"/>
      <w:marRight w:val="0"/>
      <w:marTop w:val="0"/>
      <w:marBottom w:val="0"/>
      <w:divBdr>
        <w:top w:val="none" w:sz="0" w:space="0" w:color="auto"/>
        <w:left w:val="none" w:sz="0" w:space="0" w:color="auto"/>
        <w:bottom w:val="none" w:sz="0" w:space="0" w:color="auto"/>
        <w:right w:val="none" w:sz="0" w:space="0" w:color="auto"/>
      </w:divBdr>
    </w:div>
    <w:div w:id="697511930">
      <w:bodyDiv w:val="1"/>
      <w:marLeft w:val="0"/>
      <w:marRight w:val="0"/>
      <w:marTop w:val="0"/>
      <w:marBottom w:val="0"/>
      <w:divBdr>
        <w:top w:val="none" w:sz="0" w:space="0" w:color="auto"/>
        <w:left w:val="none" w:sz="0" w:space="0" w:color="auto"/>
        <w:bottom w:val="none" w:sz="0" w:space="0" w:color="auto"/>
        <w:right w:val="none" w:sz="0" w:space="0" w:color="auto"/>
      </w:divBdr>
    </w:div>
    <w:div w:id="903687328">
      <w:bodyDiv w:val="1"/>
      <w:marLeft w:val="0"/>
      <w:marRight w:val="0"/>
      <w:marTop w:val="0"/>
      <w:marBottom w:val="0"/>
      <w:divBdr>
        <w:top w:val="none" w:sz="0" w:space="0" w:color="auto"/>
        <w:left w:val="none" w:sz="0" w:space="0" w:color="auto"/>
        <w:bottom w:val="none" w:sz="0" w:space="0" w:color="auto"/>
        <w:right w:val="none" w:sz="0" w:space="0" w:color="auto"/>
      </w:divBdr>
    </w:div>
    <w:div w:id="1219197667">
      <w:bodyDiv w:val="1"/>
      <w:marLeft w:val="0"/>
      <w:marRight w:val="0"/>
      <w:marTop w:val="0"/>
      <w:marBottom w:val="0"/>
      <w:divBdr>
        <w:top w:val="none" w:sz="0" w:space="0" w:color="auto"/>
        <w:left w:val="none" w:sz="0" w:space="0" w:color="auto"/>
        <w:bottom w:val="none" w:sz="0" w:space="0" w:color="auto"/>
        <w:right w:val="none" w:sz="0" w:space="0" w:color="auto"/>
      </w:divBdr>
    </w:div>
    <w:div w:id="1320501178">
      <w:bodyDiv w:val="1"/>
      <w:marLeft w:val="0"/>
      <w:marRight w:val="0"/>
      <w:marTop w:val="0"/>
      <w:marBottom w:val="0"/>
      <w:divBdr>
        <w:top w:val="none" w:sz="0" w:space="0" w:color="auto"/>
        <w:left w:val="none" w:sz="0" w:space="0" w:color="auto"/>
        <w:bottom w:val="none" w:sz="0" w:space="0" w:color="auto"/>
        <w:right w:val="none" w:sz="0" w:space="0" w:color="auto"/>
      </w:divBdr>
    </w:div>
    <w:div w:id="1393769196">
      <w:bodyDiv w:val="1"/>
      <w:marLeft w:val="0"/>
      <w:marRight w:val="0"/>
      <w:marTop w:val="0"/>
      <w:marBottom w:val="0"/>
      <w:divBdr>
        <w:top w:val="none" w:sz="0" w:space="0" w:color="auto"/>
        <w:left w:val="none" w:sz="0" w:space="0" w:color="auto"/>
        <w:bottom w:val="none" w:sz="0" w:space="0" w:color="auto"/>
        <w:right w:val="none" w:sz="0" w:space="0" w:color="auto"/>
      </w:divBdr>
    </w:div>
    <w:div w:id="1400521689">
      <w:bodyDiv w:val="1"/>
      <w:marLeft w:val="0"/>
      <w:marRight w:val="0"/>
      <w:marTop w:val="0"/>
      <w:marBottom w:val="0"/>
      <w:divBdr>
        <w:top w:val="none" w:sz="0" w:space="0" w:color="auto"/>
        <w:left w:val="none" w:sz="0" w:space="0" w:color="auto"/>
        <w:bottom w:val="none" w:sz="0" w:space="0" w:color="auto"/>
        <w:right w:val="none" w:sz="0" w:space="0" w:color="auto"/>
      </w:divBdr>
    </w:div>
    <w:div w:id="1411080080">
      <w:bodyDiv w:val="1"/>
      <w:marLeft w:val="0"/>
      <w:marRight w:val="0"/>
      <w:marTop w:val="0"/>
      <w:marBottom w:val="0"/>
      <w:divBdr>
        <w:top w:val="none" w:sz="0" w:space="0" w:color="auto"/>
        <w:left w:val="none" w:sz="0" w:space="0" w:color="auto"/>
        <w:bottom w:val="none" w:sz="0" w:space="0" w:color="auto"/>
        <w:right w:val="none" w:sz="0" w:space="0" w:color="auto"/>
      </w:divBdr>
    </w:div>
    <w:div w:id="1493716638">
      <w:bodyDiv w:val="1"/>
      <w:marLeft w:val="0"/>
      <w:marRight w:val="0"/>
      <w:marTop w:val="0"/>
      <w:marBottom w:val="0"/>
      <w:divBdr>
        <w:top w:val="none" w:sz="0" w:space="0" w:color="auto"/>
        <w:left w:val="none" w:sz="0" w:space="0" w:color="auto"/>
        <w:bottom w:val="none" w:sz="0" w:space="0" w:color="auto"/>
        <w:right w:val="none" w:sz="0" w:space="0" w:color="auto"/>
      </w:divBdr>
    </w:div>
    <w:div w:id="1609116742">
      <w:bodyDiv w:val="1"/>
      <w:marLeft w:val="0"/>
      <w:marRight w:val="0"/>
      <w:marTop w:val="0"/>
      <w:marBottom w:val="0"/>
      <w:divBdr>
        <w:top w:val="none" w:sz="0" w:space="0" w:color="auto"/>
        <w:left w:val="none" w:sz="0" w:space="0" w:color="auto"/>
        <w:bottom w:val="none" w:sz="0" w:space="0" w:color="auto"/>
        <w:right w:val="none" w:sz="0" w:space="0" w:color="auto"/>
      </w:divBdr>
    </w:div>
    <w:div w:id="1672756447">
      <w:bodyDiv w:val="1"/>
      <w:marLeft w:val="0"/>
      <w:marRight w:val="0"/>
      <w:marTop w:val="0"/>
      <w:marBottom w:val="0"/>
      <w:divBdr>
        <w:top w:val="none" w:sz="0" w:space="0" w:color="auto"/>
        <w:left w:val="none" w:sz="0" w:space="0" w:color="auto"/>
        <w:bottom w:val="none" w:sz="0" w:space="0" w:color="auto"/>
        <w:right w:val="none" w:sz="0" w:space="0" w:color="auto"/>
      </w:divBdr>
    </w:div>
    <w:div w:id="1711344420">
      <w:bodyDiv w:val="1"/>
      <w:marLeft w:val="0"/>
      <w:marRight w:val="0"/>
      <w:marTop w:val="0"/>
      <w:marBottom w:val="0"/>
      <w:divBdr>
        <w:top w:val="none" w:sz="0" w:space="0" w:color="auto"/>
        <w:left w:val="none" w:sz="0" w:space="0" w:color="auto"/>
        <w:bottom w:val="none" w:sz="0" w:space="0" w:color="auto"/>
        <w:right w:val="none" w:sz="0" w:space="0" w:color="auto"/>
      </w:divBdr>
    </w:div>
    <w:div w:id="1773435301">
      <w:bodyDiv w:val="1"/>
      <w:marLeft w:val="0"/>
      <w:marRight w:val="0"/>
      <w:marTop w:val="0"/>
      <w:marBottom w:val="0"/>
      <w:divBdr>
        <w:top w:val="none" w:sz="0" w:space="0" w:color="auto"/>
        <w:left w:val="none" w:sz="0" w:space="0" w:color="auto"/>
        <w:bottom w:val="none" w:sz="0" w:space="0" w:color="auto"/>
        <w:right w:val="none" w:sz="0" w:space="0" w:color="auto"/>
      </w:divBdr>
    </w:div>
    <w:div w:id="1853882651">
      <w:bodyDiv w:val="1"/>
      <w:marLeft w:val="0"/>
      <w:marRight w:val="0"/>
      <w:marTop w:val="0"/>
      <w:marBottom w:val="0"/>
      <w:divBdr>
        <w:top w:val="none" w:sz="0" w:space="0" w:color="auto"/>
        <w:left w:val="none" w:sz="0" w:space="0" w:color="auto"/>
        <w:bottom w:val="none" w:sz="0" w:space="0" w:color="auto"/>
        <w:right w:val="none" w:sz="0" w:space="0" w:color="auto"/>
      </w:divBdr>
    </w:div>
    <w:div w:id="1964456365">
      <w:bodyDiv w:val="1"/>
      <w:marLeft w:val="0"/>
      <w:marRight w:val="0"/>
      <w:marTop w:val="0"/>
      <w:marBottom w:val="0"/>
      <w:divBdr>
        <w:top w:val="none" w:sz="0" w:space="0" w:color="auto"/>
        <w:left w:val="none" w:sz="0" w:space="0" w:color="auto"/>
        <w:bottom w:val="none" w:sz="0" w:space="0" w:color="auto"/>
        <w:right w:val="none" w:sz="0" w:space="0" w:color="auto"/>
      </w:divBdr>
    </w:div>
    <w:div w:id="1981424078">
      <w:bodyDiv w:val="1"/>
      <w:marLeft w:val="0"/>
      <w:marRight w:val="0"/>
      <w:marTop w:val="0"/>
      <w:marBottom w:val="0"/>
      <w:divBdr>
        <w:top w:val="none" w:sz="0" w:space="0" w:color="auto"/>
        <w:left w:val="none" w:sz="0" w:space="0" w:color="auto"/>
        <w:bottom w:val="none" w:sz="0" w:space="0" w:color="auto"/>
        <w:right w:val="none" w:sz="0" w:space="0" w:color="auto"/>
      </w:divBdr>
    </w:div>
    <w:div w:id="2048337263">
      <w:bodyDiv w:val="1"/>
      <w:marLeft w:val="0"/>
      <w:marRight w:val="0"/>
      <w:marTop w:val="0"/>
      <w:marBottom w:val="0"/>
      <w:divBdr>
        <w:top w:val="none" w:sz="0" w:space="0" w:color="auto"/>
        <w:left w:val="none" w:sz="0" w:space="0" w:color="auto"/>
        <w:bottom w:val="none" w:sz="0" w:space="0" w:color="auto"/>
        <w:right w:val="none" w:sz="0" w:space="0" w:color="auto"/>
      </w:divBdr>
    </w:div>
    <w:div w:id="21092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EN/TXT/?qid=1574850810120&amp;uri=CELEX:02017R0625-20170407"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hyperlink" Target="http://www.foodstandards.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73C25-251C-43E8-AEE8-3EF394A54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4</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7217</CharactersWithSpaces>
  <SharedDoc>false</SharedDoc>
  <HLinks>
    <vt:vector size="6" baseType="variant">
      <vt:variant>
        <vt:i4>3211302</vt:i4>
      </vt:variant>
      <vt:variant>
        <vt:i4>0</vt:i4>
      </vt:variant>
      <vt:variant>
        <vt:i4>0</vt:i4>
      </vt:variant>
      <vt:variant>
        <vt:i4>5</vt:i4>
      </vt:variant>
      <vt:variant>
        <vt:lpwstr>http://www.scotland.gov.uk/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u202548</dc:creator>
  <cp:lastModifiedBy>Robertson K (Karen) (FSS)</cp:lastModifiedBy>
  <cp:revision>7</cp:revision>
  <cp:lastPrinted>2019-12-03T08:15:00Z</cp:lastPrinted>
  <dcterms:created xsi:type="dcterms:W3CDTF">2020-01-17T09:49:00Z</dcterms:created>
  <dcterms:modified xsi:type="dcterms:W3CDTF">2020-01-24T11:49:00Z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A10503648</vt:lpwstr>
  </property>
  <property fmtid="{D5CDD505-2E9C-101B-9397-08002B2CF9AE}" pid="3" name="Objective-Title">
    <vt:lpwstr>Food Standards Scotland - eHR Template Letter - 52 First Written Warning</vt:lpwstr>
  </property>
  <property fmtid="{D5CDD505-2E9C-101B-9397-08002B2CF9AE}" pid="4" name="Objective-Comment">
    <vt:lpwstr/>
  </property>
  <property fmtid="{D5CDD505-2E9C-101B-9397-08002B2CF9AE}" pid="5" name="Objective-CreationStamp">
    <vt:filetime>2015-03-04T08:48:20Z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2015-03-04T08:49:19Z</vt:filetime>
  </property>
  <property fmtid="{D5CDD505-2E9C-101B-9397-08002B2CF9AE}" pid="9" name="Objective-ModificationStamp">
    <vt:filetime>2015-03-04T08:49:32Z</vt:filetime>
  </property>
  <property fmtid="{D5CDD505-2E9C-101B-9397-08002B2CF9AE}" pid="10" name="Objective-Owner">
    <vt:lpwstr>Paxton, Jamie J (u202548)</vt:lpwstr>
  </property>
  <property fmtid="{D5CDD505-2E9C-101B-9397-08002B2CF9AE}" pid="11" name="Objective-Path">
    <vt:lpwstr>Objective Global Folder:SG File Plan:Administration:Human resources:HR Projects:Projects: HR Projects:HR Projects: Food Standards Scotland: 2014-2019:</vt:lpwstr>
  </property>
  <property fmtid="{D5CDD505-2E9C-101B-9397-08002B2CF9AE}" pid="12" name="Objective-Parent">
    <vt:lpwstr>HR Projects: Food Standards Scotland: 2014-2019</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2</vt:i4>
  </property>
  <property fmtid="{D5CDD505-2E9C-101B-9397-08002B2CF9AE}" pid="16" name="Objective-VersionComment">
    <vt:lpwstr>Version 2</vt:lpwstr>
  </property>
  <property fmtid="{D5CDD505-2E9C-101B-9397-08002B2CF9AE}" pid="17" name="Objective-FileNumber">
    <vt:lpwstr>PROJ/9593</vt:lpwstr>
  </property>
  <property fmtid="{D5CDD505-2E9C-101B-9397-08002B2CF9AE}" pid="18" name="Objective-Classification">
    <vt:lpwstr>[Inherited - OFFICIAL-SENSITIVE-PERSONAL]</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ies>
</file>