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8C2EF" w14:textId="2766CE20" w:rsidR="005F248A" w:rsidRDefault="005F248A" w:rsidP="00874ABD">
      <w:pPr>
        <w:spacing w:line="276" w:lineRule="auto"/>
      </w:pPr>
    </w:p>
    <w:p w14:paraId="699B245C" w14:textId="77777777" w:rsidR="00327EBC" w:rsidRDefault="00327EBC" w:rsidP="00874ABD">
      <w:pPr>
        <w:spacing w:line="276" w:lineRule="auto"/>
      </w:pPr>
    </w:p>
    <w:p w14:paraId="7FCEDFF2" w14:textId="3DDB340B" w:rsidR="002205E7" w:rsidRDefault="7B00A170" w:rsidP="0D8D2513">
      <w:pPr>
        <w:spacing w:line="276" w:lineRule="auto"/>
      </w:pPr>
      <w:r>
        <w:rPr>
          <w:noProof/>
        </w:rPr>
        <w:drawing>
          <wp:inline distT="0" distB="0" distL="0" distR="0" wp14:anchorId="6EAF2BF4" wp14:editId="3BD5FC20">
            <wp:extent cx="2469094" cy="2456901"/>
            <wp:effectExtent l="0" t="0" r="0" b="0"/>
            <wp:docPr id="2110100789" name="Picture 211010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69094" cy="2456901"/>
                    </a:xfrm>
                    <a:prstGeom prst="rect">
                      <a:avLst/>
                    </a:prstGeom>
                  </pic:spPr>
                </pic:pic>
              </a:graphicData>
            </a:graphic>
          </wp:inline>
        </w:drawing>
      </w:r>
    </w:p>
    <w:p w14:paraId="3E7230CA" w14:textId="1C91F0E8" w:rsidR="002205E7" w:rsidRDefault="002205E7" w:rsidP="00874ABD">
      <w:pPr>
        <w:spacing w:line="276" w:lineRule="auto"/>
        <w:rPr>
          <w:color w:val="276944" w:themeColor="accent2"/>
          <w:sz w:val="44"/>
        </w:rPr>
      </w:pPr>
    </w:p>
    <w:p w14:paraId="73231CA6" w14:textId="40E6175F" w:rsidR="00E06FC2" w:rsidRPr="00B85375" w:rsidRDefault="00080583" w:rsidP="595AB009">
      <w:pPr>
        <w:pStyle w:val="Title"/>
        <w:rPr>
          <w:b w:val="0"/>
          <w:sz w:val="48"/>
          <w:szCs w:val="48"/>
        </w:rPr>
      </w:pPr>
      <w:r w:rsidRPr="00B85375">
        <w:rPr>
          <w:color w:val="auto"/>
          <w:sz w:val="48"/>
          <w:szCs w:val="48"/>
        </w:rPr>
        <w:t>Amending The</w:t>
      </w:r>
      <w:r w:rsidR="004D72AB">
        <w:rPr>
          <w:color w:val="auto"/>
          <w:sz w:val="48"/>
          <w:szCs w:val="48"/>
        </w:rPr>
        <w:t xml:space="preserve"> </w:t>
      </w:r>
      <w:r w:rsidR="5035B4E5" w:rsidRPr="00B85375">
        <w:rPr>
          <w:color w:val="auto"/>
          <w:sz w:val="48"/>
          <w:szCs w:val="48"/>
        </w:rPr>
        <w:t>Bread and Flour Regulations</w:t>
      </w:r>
      <w:r w:rsidR="00C51CC2">
        <w:rPr>
          <w:color w:val="auto"/>
          <w:sz w:val="48"/>
          <w:szCs w:val="48"/>
        </w:rPr>
        <w:t xml:space="preserve"> 1998</w:t>
      </w:r>
      <w:r w:rsidR="00835965">
        <w:rPr>
          <w:color w:val="auto"/>
          <w:sz w:val="48"/>
          <w:szCs w:val="48"/>
        </w:rPr>
        <w:t>:</w:t>
      </w:r>
      <w:r w:rsidR="00835965" w:rsidRPr="00835965">
        <w:t xml:space="preserve"> </w:t>
      </w:r>
      <w:r w:rsidR="00835965" w:rsidRPr="00835965">
        <w:rPr>
          <w:color w:val="auto"/>
          <w:sz w:val="48"/>
          <w:szCs w:val="48"/>
        </w:rPr>
        <w:t>Partial  Business and Regulatory Impact Assessment (BRIA)</w:t>
      </w:r>
      <w:r w:rsidR="00D51F63" w:rsidRPr="00B85375">
        <w:rPr>
          <w:sz w:val="48"/>
          <w:szCs w:val="48"/>
        </w:rPr>
        <w:br/>
      </w:r>
    </w:p>
    <w:p w14:paraId="6E481FDE" w14:textId="69EBA264" w:rsidR="000B2610" w:rsidRPr="00B85375" w:rsidRDefault="00E7137A" w:rsidP="0088510B">
      <w:pPr>
        <w:pStyle w:val="Subtitle"/>
        <w:rPr>
          <w:sz w:val="40"/>
          <w:szCs w:val="40"/>
        </w:rPr>
      </w:pPr>
      <w:bookmarkStart w:id="0" w:name="_Hlk166251473"/>
      <w:r>
        <w:rPr>
          <w:sz w:val="40"/>
          <w:szCs w:val="40"/>
        </w:rPr>
        <w:t xml:space="preserve">A </w:t>
      </w:r>
      <w:r w:rsidR="00C5798B">
        <w:rPr>
          <w:sz w:val="40"/>
          <w:szCs w:val="40"/>
        </w:rPr>
        <w:t>P</w:t>
      </w:r>
      <w:r w:rsidR="00982FC4" w:rsidRPr="00B85375">
        <w:rPr>
          <w:sz w:val="40"/>
          <w:szCs w:val="40"/>
        </w:rPr>
        <w:t xml:space="preserve">artial </w:t>
      </w:r>
      <w:r w:rsidR="00E06FC2" w:rsidRPr="00B85375">
        <w:rPr>
          <w:sz w:val="40"/>
          <w:szCs w:val="40"/>
        </w:rPr>
        <w:t>Business and Regulatory</w:t>
      </w:r>
      <w:r w:rsidR="008C01F6">
        <w:rPr>
          <w:sz w:val="40"/>
          <w:szCs w:val="40"/>
        </w:rPr>
        <w:t xml:space="preserve"> </w:t>
      </w:r>
      <w:r w:rsidR="00E06FC2" w:rsidRPr="00B85375">
        <w:rPr>
          <w:sz w:val="40"/>
          <w:szCs w:val="40"/>
        </w:rPr>
        <w:t>Impact Assessmen</w:t>
      </w:r>
      <w:r w:rsidR="000B2610" w:rsidRPr="00B85375">
        <w:rPr>
          <w:sz w:val="40"/>
          <w:szCs w:val="40"/>
        </w:rPr>
        <w:t>t</w:t>
      </w:r>
      <w:r w:rsidR="008C01F6">
        <w:rPr>
          <w:sz w:val="40"/>
          <w:szCs w:val="40"/>
        </w:rPr>
        <w:t xml:space="preserve"> (BRIA)</w:t>
      </w:r>
      <w:bookmarkEnd w:id="0"/>
      <w:r w:rsidR="008C01F6">
        <w:rPr>
          <w:sz w:val="40"/>
          <w:szCs w:val="40"/>
        </w:rPr>
        <w:t xml:space="preserve"> </w:t>
      </w:r>
      <w:r w:rsidR="00992F2B">
        <w:rPr>
          <w:sz w:val="40"/>
          <w:szCs w:val="40"/>
        </w:rPr>
        <w:t>to support the consul</w:t>
      </w:r>
      <w:r w:rsidR="0034277C">
        <w:rPr>
          <w:sz w:val="40"/>
          <w:szCs w:val="40"/>
        </w:rPr>
        <w:t>t</w:t>
      </w:r>
      <w:r w:rsidR="00992F2B">
        <w:rPr>
          <w:sz w:val="40"/>
          <w:szCs w:val="40"/>
        </w:rPr>
        <w:t xml:space="preserve">ation </w:t>
      </w:r>
      <w:r w:rsidR="00C40BBA" w:rsidRPr="00C40BBA">
        <w:rPr>
          <w:sz w:val="40"/>
          <w:szCs w:val="40"/>
        </w:rPr>
        <w:t>on the implementation of the amending Regulations in Scotland</w:t>
      </w:r>
      <w:r w:rsidR="00C51827">
        <w:rPr>
          <w:sz w:val="40"/>
          <w:szCs w:val="40"/>
        </w:rPr>
        <w:t>.</w:t>
      </w:r>
      <w:r w:rsidR="008C01F6">
        <w:rPr>
          <w:sz w:val="40"/>
          <w:szCs w:val="40"/>
        </w:rPr>
        <w:t xml:space="preserve"> </w:t>
      </w:r>
    </w:p>
    <w:p w14:paraId="216F055F" w14:textId="77777777" w:rsidR="000B2610" w:rsidRPr="00D659A5" w:rsidRDefault="000B2610" w:rsidP="00874ABD">
      <w:pPr>
        <w:rPr>
          <w:rFonts w:cstheme="minorHAnsi"/>
          <w:sz w:val="56"/>
        </w:rPr>
      </w:pPr>
    </w:p>
    <w:p w14:paraId="11A48DB9" w14:textId="0132FB25" w:rsidR="00E14B1B" w:rsidRDefault="00E14B1B" w:rsidP="00874ABD">
      <w:pPr>
        <w:spacing w:line="276" w:lineRule="auto"/>
      </w:pPr>
    </w:p>
    <w:p w14:paraId="2B2A5BBA" w14:textId="2838B10C" w:rsidR="00934648" w:rsidRDefault="177C3059" w:rsidP="0D8D2513">
      <w:pPr>
        <w:spacing w:line="276" w:lineRule="auto"/>
        <w:rPr>
          <w:sz w:val="36"/>
          <w:szCs w:val="36"/>
        </w:rPr>
        <w:sectPr w:rsidR="00934648" w:rsidSect="00224E48">
          <w:footerReference w:type="default" r:id="rId9"/>
          <w:footerReference w:type="first" r:id="rId10"/>
          <w:pgSz w:w="11906" w:h="16838" w:code="9"/>
          <w:pgMar w:top="1440" w:right="1080" w:bottom="1440" w:left="1080" w:header="720" w:footer="720" w:gutter="0"/>
          <w:pgNumType w:start="0"/>
          <w:cols w:space="708"/>
          <w:titlePg/>
          <w:docGrid w:linePitch="360"/>
        </w:sectPr>
      </w:pPr>
      <w:r w:rsidRPr="0D8D2513">
        <w:rPr>
          <w:noProof/>
          <w:sz w:val="36"/>
          <w:szCs w:val="36"/>
        </w:rPr>
        <w:t>May</w:t>
      </w:r>
      <w:r w:rsidR="19D39CD7" w:rsidRPr="0D8D2513">
        <w:rPr>
          <w:noProof/>
          <w:sz w:val="36"/>
          <w:szCs w:val="36"/>
        </w:rPr>
        <w:t xml:space="preserve"> 2024</w:t>
      </w:r>
    </w:p>
    <w:p w14:paraId="10F16204" w14:textId="6F49CDFE" w:rsidR="00A578E5" w:rsidRPr="003C0DEA" w:rsidRDefault="00A578E5" w:rsidP="003C0DEA">
      <w:pPr>
        <w:rPr>
          <w:b/>
          <w:bCs/>
          <w:sz w:val="32"/>
          <w:szCs w:val="32"/>
        </w:rPr>
      </w:pPr>
      <w:r w:rsidRPr="003C0DEA">
        <w:rPr>
          <w:b/>
          <w:bCs/>
          <w:sz w:val="32"/>
          <w:szCs w:val="32"/>
        </w:rPr>
        <w:t>Table of Contents</w:t>
      </w:r>
    </w:p>
    <w:p w14:paraId="0C9CA290" w14:textId="77777777" w:rsidR="00A578E5" w:rsidRDefault="00A578E5" w:rsidP="002A0386">
      <w:pPr>
        <w:pStyle w:val="TOC1"/>
      </w:pPr>
    </w:p>
    <w:p w14:paraId="7EE0503D" w14:textId="77777777" w:rsidR="0046371D" w:rsidRPr="0046371D" w:rsidRDefault="0046371D" w:rsidP="0046371D"/>
    <w:p w14:paraId="18B69F4A" w14:textId="0C0BB824" w:rsidR="002002FB" w:rsidRDefault="00220333">
      <w:pPr>
        <w:pStyle w:val="TOC1"/>
        <w:rPr>
          <w:rFonts w:asciiTheme="minorHAnsi" w:eastAsiaTheme="minorEastAsia" w:hAnsiTheme="minorHAnsi" w:cstheme="minorBidi"/>
          <w:bCs w:val="0"/>
          <w:noProof/>
          <w:kern w:val="2"/>
          <w:sz w:val="22"/>
          <w:szCs w:val="22"/>
          <w:lang w:eastAsia="en-GB"/>
          <w14:ligatures w14:val="standardContextual"/>
        </w:rPr>
      </w:pPr>
      <w:r w:rsidRPr="001011AD">
        <w:rPr>
          <w:rFonts w:cstheme="minorHAnsi"/>
          <w:b/>
          <w:sz w:val="24"/>
          <w14:numSpacing w14:val="proportional"/>
        </w:rPr>
        <w:fldChar w:fldCharType="begin"/>
      </w:r>
      <w:r w:rsidRPr="001011AD">
        <w:rPr>
          <w:rFonts w:cstheme="minorHAnsi"/>
          <w:sz w:val="24"/>
          <w14:numSpacing w14:val="proportional"/>
        </w:rPr>
        <w:instrText xml:space="preserve"> TOC \o "1-1" \h \z \u </w:instrText>
      </w:r>
      <w:r w:rsidRPr="001011AD">
        <w:rPr>
          <w:rFonts w:cstheme="minorHAnsi"/>
          <w:b/>
          <w:sz w:val="24"/>
          <w14:numSpacing w14:val="proportional"/>
        </w:rPr>
        <w:fldChar w:fldCharType="separate"/>
      </w:r>
      <w:hyperlink w:anchor="_Toc165382837" w:history="1">
        <w:r w:rsidR="002002FB" w:rsidRPr="006502E8">
          <w:rPr>
            <w:rStyle w:val="Hyperlink"/>
            <w:noProof/>
          </w:rPr>
          <w:t>1. Title of Proposal</w:t>
        </w:r>
        <w:r w:rsidR="002002FB">
          <w:rPr>
            <w:noProof/>
            <w:webHidden/>
          </w:rPr>
          <w:tab/>
        </w:r>
        <w:r w:rsidR="002002FB">
          <w:rPr>
            <w:noProof/>
            <w:webHidden/>
          </w:rPr>
          <w:fldChar w:fldCharType="begin"/>
        </w:r>
        <w:r w:rsidR="002002FB">
          <w:rPr>
            <w:noProof/>
            <w:webHidden/>
          </w:rPr>
          <w:instrText xml:space="preserve"> PAGEREF _Toc165382837 \h </w:instrText>
        </w:r>
        <w:r w:rsidR="002002FB">
          <w:rPr>
            <w:noProof/>
            <w:webHidden/>
          </w:rPr>
        </w:r>
        <w:r w:rsidR="002002FB">
          <w:rPr>
            <w:noProof/>
            <w:webHidden/>
          </w:rPr>
          <w:fldChar w:fldCharType="separate"/>
        </w:r>
        <w:r w:rsidR="007E1F49">
          <w:rPr>
            <w:noProof/>
            <w:webHidden/>
          </w:rPr>
          <w:t>1</w:t>
        </w:r>
        <w:r w:rsidR="002002FB">
          <w:rPr>
            <w:noProof/>
            <w:webHidden/>
          </w:rPr>
          <w:fldChar w:fldCharType="end"/>
        </w:r>
      </w:hyperlink>
    </w:p>
    <w:p w14:paraId="31099707" w14:textId="0196FF93"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38" w:history="1">
        <w:r w:rsidR="002002FB" w:rsidRPr="006502E8">
          <w:rPr>
            <w:rStyle w:val="Hyperlink"/>
            <w:noProof/>
          </w:rPr>
          <w:t>2. Purpose and Intended Effect</w:t>
        </w:r>
        <w:r w:rsidR="002002FB">
          <w:rPr>
            <w:noProof/>
            <w:webHidden/>
          </w:rPr>
          <w:tab/>
        </w:r>
        <w:r w:rsidR="002002FB">
          <w:rPr>
            <w:noProof/>
            <w:webHidden/>
          </w:rPr>
          <w:fldChar w:fldCharType="begin"/>
        </w:r>
        <w:r w:rsidR="002002FB">
          <w:rPr>
            <w:noProof/>
            <w:webHidden/>
          </w:rPr>
          <w:instrText xml:space="preserve"> PAGEREF _Toc165382838 \h </w:instrText>
        </w:r>
        <w:r w:rsidR="002002FB">
          <w:rPr>
            <w:noProof/>
            <w:webHidden/>
          </w:rPr>
        </w:r>
        <w:r w:rsidR="002002FB">
          <w:rPr>
            <w:noProof/>
            <w:webHidden/>
          </w:rPr>
          <w:fldChar w:fldCharType="separate"/>
        </w:r>
        <w:r w:rsidR="007E1F49">
          <w:rPr>
            <w:noProof/>
            <w:webHidden/>
          </w:rPr>
          <w:t>1</w:t>
        </w:r>
        <w:r w:rsidR="002002FB">
          <w:rPr>
            <w:noProof/>
            <w:webHidden/>
          </w:rPr>
          <w:fldChar w:fldCharType="end"/>
        </w:r>
      </w:hyperlink>
    </w:p>
    <w:p w14:paraId="57F3BA6A" w14:textId="35DFA7D1"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39" w:history="1">
        <w:r w:rsidR="002002FB" w:rsidRPr="006502E8">
          <w:rPr>
            <w:rStyle w:val="Hyperlink"/>
            <w:noProof/>
          </w:rPr>
          <w:t>3. Consultation</w:t>
        </w:r>
        <w:r w:rsidR="002002FB">
          <w:rPr>
            <w:noProof/>
            <w:webHidden/>
          </w:rPr>
          <w:tab/>
        </w:r>
        <w:r w:rsidR="002002FB">
          <w:rPr>
            <w:noProof/>
            <w:webHidden/>
          </w:rPr>
          <w:fldChar w:fldCharType="begin"/>
        </w:r>
        <w:r w:rsidR="002002FB">
          <w:rPr>
            <w:noProof/>
            <w:webHidden/>
          </w:rPr>
          <w:instrText xml:space="preserve"> PAGEREF _Toc165382839 \h </w:instrText>
        </w:r>
        <w:r w:rsidR="002002FB">
          <w:rPr>
            <w:noProof/>
            <w:webHidden/>
          </w:rPr>
        </w:r>
        <w:r w:rsidR="002002FB">
          <w:rPr>
            <w:noProof/>
            <w:webHidden/>
          </w:rPr>
          <w:fldChar w:fldCharType="separate"/>
        </w:r>
        <w:r w:rsidR="007E1F49">
          <w:rPr>
            <w:noProof/>
            <w:webHidden/>
          </w:rPr>
          <w:t>4</w:t>
        </w:r>
        <w:r w:rsidR="002002FB">
          <w:rPr>
            <w:noProof/>
            <w:webHidden/>
          </w:rPr>
          <w:fldChar w:fldCharType="end"/>
        </w:r>
      </w:hyperlink>
    </w:p>
    <w:p w14:paraId="3C434A4D" w14:textId="24CF6829"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0" w:history="1">
        <w:r w:rsidR="002002FB" w:rsidRPr="006502E8">
          <w:rPr>
            <w:rStyle w:val="Hyperlink"/>
            <w:noProof/>
          </w:rPr>
          <w:t>4. Options</w:t>
        </w:r>
        <w:r w:rsidR="002002FB">
          <w:rPr>
            <w:noProof/>
            <w:webHidden/>
          </w:rPr>
          <w:tab/>
        </w:r>
        <w:r w:rsidR="002002FB">
          <w:rPr>
            <w:noProof/>
            <w:webHidden/>
          </w:rPr>
          <w:fldChar w:fldCharType="begin"/>
        </w:r>
        <w:r w:rsidR="002002FB">
          <w:rPr>
            <w:noProof/>
            <w:webHidden/>
          </w:rPr>
          <w:instrText xml:space="preserve"> PAGEREF _Toc165382840 \h </w:instrText>
        </w:r>
        <w:r w:rsidR="002002FB">
          <w:rPr>
            <w:noProof/>
            <w:webHidden/>
          </w:rPr>
        </w:r>
        <w:r w:rsidR="002002FB">
          <w:rPr>
            <w:noProof/>
            <w:webHidden/>
          </w:rPr>
          <w:fldChar w:fldCharType="separate"/>
        </w:r>
        <w:r w:rsidR="007E1F49">
          <w:rPr>
            <w:noProof/>
            <w:webHidden/>
          </w:rPr>
          <w:t>6</w:t>
        </w:r>
        <w:r w:rsidR="002002FB">
          <w:rPr>
            <w:noProof/>
            <w:webHidden/>
          </w:rPr>
          <w:fldChar w:fldCharType="end"/>
        </w:r>
      </w:hyperlink>
    </w:p>
    <w:p w14:paraId="7C8644FC" w14:textId="08A257E4"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1" w:history="1">
        <w:r w:rsidR="002002FB" w:rsidRPr="006502E8">
          <w:rPr>
            <w:rStyle w:val="Hyperlink"/>
            <w:noProof/>
          </w:rPr>
          <w:t>5. Regulatory and EU Alignment Impacts</w:t>
        </w:r>
        <w:r w:rsidR="002002FB">
          <w:rPr>
            <w:noProof/>
            <w:webHidden/>
          </w:rPr>
          <w:tab/>
        </w:r>
        <w:r w:rsidR="002002FB">
          <w:rPr>
            <w:noProof/>
            <w:webHidden/>
          </w:rPr>
          <w:fldChar w:fldCharType="begin"/>
        </w:r>
        <w:r w:rsidR="002002FB">
          <w:rPr>
            <w:noProof/>
            <w:webHidden/>
          </w:rPr>
          <w:instrText xml:space="preserve"> PAGEREF _Toc165382841 \h </w:instrText>
        </w:r>
        <w:r w:rsidR="002002FB">
          <w:rPr>
            <w:noProof/>
            <w:webHidden/>
          </w:rPr>
        </w:r>
        <w:r w:rsidR="002002FB">
          <w:rPr>
            <w:noProof/>
            <w:webHidden/>
          </w:rPr>
          <w:fldChar w:fldCharType="separate"/>
        </w:r>
        <w:r w:rsidR="007E1F49">
          <w:rPr>
            <w:noProof/>
            <w:webHidden/>
          </w:rPr>
          <w:t>11</w:t>
        </w:r>
        <w:r w:rsidR="002002FB">
          <w:rPr>
            <w:noProof/>
            <w:webHidden/>
          </w:rPr>
          <w:fldChar w:fldCharType="end"/>
        </w:r>
      </w:hyperlink>
    </w:p>
    <w:p w14:paraId="46116FA8" w14:textId="1CADC15A"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2" w:history="1">
        <w:r w:rsidR="002002FB" w:rsidRPr="006502E8">
          <w:rPr>
            <w:rStyle w:val="Hyperlink"/>
            <w:noProof/>
          </w:rPr>
          <w:t>6. Scottish Firms Impact Test</w:t>
        </w:r>
        <w:r w:rsidR="002002FB">
          <w:rPr>
            <w:noProof/>
            <w:webHidden/>
          </w:rPr>
          <w:tab/>
        </w:r>
        <w:r w:rsidR="002002FB">
          <w:rPr>
            <w:noProof/>
            <w:webHidden/>
          </w:rPr>
          <w:fldChar w:fldCharType="begin"/>
        </w:r>
        <w:r w:rsidR="002002FB">
          <w:rPr>
            <w:noProof/>
            <w:webHidden/>
          </w:rPr>
          <w:instrText xml:space="preserve"> PAGEREF _Toc165382842 \h </w:instrText>
        </w:r>
        <w:r w:rsidR="002002FB">
          <w:rPr>
            <w:noProof/>
            <w:webHidden/>
          </w:rPr>
        </w:r>
        <w:r w:rsidR="002002FB">
          <w:rPr>
            <w:noProof/>
            <w:webHidden/>
          </w:rPr>
          <w:fldChar w:fldCharType="separate"/>
        </w:r>
        <w:r w:rsidR="007E1F49">
          <w:rPr>
            <w:noProof/>
            <w:webHidden/>
          </w:rPr>
          <w:t>12</w:t>
        </w:r>
        <w:r w:rsidR="002002FB">
          <w:rPr>
            <w:noProof/>
            <w:webHidden/>
          </w:rPr>
          <w:fldChar w:fldCharType="end"/>
        </w:r>
      </w:hyperlink>
    </w:p>
    <w:p w14:paraId="25F56077" w14:textId="1E2BC542"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3" w:history="1">
        <w:r w:rsidR="002002FB" w:rsidRPr="006502E8">
          <w:rPr>
            <w:rStyle w:val="Hyperlink"/>
            <w:noProof/>
          </w:rPr>
          <w:t>7. Competition Assessment</w:t>
        </w:r>
        <w:r w:rsidR="002002FB">
          <w:rPr>
            <w:noProof/>
            <w:webHidden/>
          </w:rPr>
          <w:tab/>
        </w:r>
        <w:r w:rsidR="002002FB">
          <w:rPr>
            <w:noProof/>
            <w:webHidden/>
          </w:rPr>
          <w:fldChar w:fldCharType="begin"/>
        </w:r>
        <w:r w:rsidR="002002FB">
          <w:rPr>
            <w:noProof/>
            <w:webHidden/>
          </w:rPr>
          <w:instrText xml:space="preserve"> PAGEREF _Toc165382843 \h </w:instrText>
        </w:r>
        <w:r w:rsidR="002002FB">
          <w:rPr>
            <w:noProof/>
            <w:webHidden/>
          </w:rPr>
        </w:r>
        <w:r w:rsidR="002002FB">
          <w:rPr>
            <w:noProof/>
            <w:webHidden/>
          </w:rPr>
          <w:fldChar w:fldCharType="separate"/>
        </w:r>
        <w:r w:rsidR="007E1F49">
          <w:rPr>
            <w:noProof/>
            <w:webHidden/>
          </w:rPr>
          <w:t>12</w:t>
        </w:r>
        <w:r w:rsidR="002002FB">
          <w:rPr>
            <w:noProof/>
            <w:webHidden/>
          </w:rPr>
          <w:fldChar w:fldCharType="end"/>
        </w:r>
      </w:hyperlink>
    </w:p>
    <w:p w14:paraId="5182864D" w14:textId="7C9591B7"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4" w:history="1">
        <w:r w:rsidR="002002FB" w:rsidRPr="006502E8">
          <w:rPr>
            <w:rStyle w:val="Hyperlink"/>
            <w:noProof/>
          </w:rPr>
          <w:t>8. Consumer Assessment</w:t>
        </w:r>
        <w:r w:rsidR="002002FB">
          <w:rPr>
            <w:noProof/>
            <w:webHidden/>
          </w:rPr>
          <w:tab/>
        </w:r>
        <w:r w:rsidR="002002FB">
          <w:rPr>
            <w:noProof/>
            <w:webHidden/>
          </w:rPr>
          <w:fldChar w:fldCharType="begin"/>
        </w:r>
        <w:r w:rsidR="002002FB">
          <w:rPr>
            <w:noProof/>
            <w:webHidden/>
          </w:rPr>
          <w:instrText xml:space="preserve"> PAGEREF _Toc165382844 \h </w:instrText>
        </w:r>
        <w:r w:rsidR="002002FB">
          <w:rPr>
            <w:noProof/>
            <w:webHidden/>
          </w:rPr>
        </w:r>
        <w:r w:rsidR="002002FB">
          <w:rPr>
            <w:noProof/>
            <w:webHidden/>
          </w:rPr>
          <w:fldChar w:fldCharType="separate"/>
        </w:r>
        <w:r w:rsidR="007E1F49">
          <w:rPr>
            <w:noProof/>
            <w:webHidden/>
          </w:rPr>
          <w:t>17</w:t>
        </w:r>
        <w:r w:rsidR="002002FB">
          <w:rPr>
            <w:noProof/>
            <w:webHidden/>
          </w:rPr>
          <w:fldChar w:fldCharType="end"/>
        </w:r>
      </w:hyperlink>
    </w:p>
    <w:p w14:paraId="17672658" w14:textId="11034917"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5" w:history="1">
        <w:r w:rsidR="002002FB" w:rsidRPr="006502E8">
          <w:rPr>
            <w:rStyle w:val="Hyperlink"/>
            <w:noProof/>
          </w:rPr>
          <w:t>9. Test Run of Business Forms</w:t>
        </w:r>
        <w:r w:rsidR="002002FB">
          <w:rPr>
            <w:noProof/>
            <w:webHidden/>
          </w:rPr>
          <w:tab/>
        </w:r>
        <w:r w:rsidR="002002FB">
          <w:rPr>
            <w:noProof/>
            <w:webHidden/>
          </w:rPr>
          <w:fldChar w:fldCharType="begin"/>
        </w:r>
        <w:r w:rsidR="002002FB">
          <w:rPr>
            <w:noProof/>
            <w:webHidden/>
          </w:rPr>
          <w:instrText xml:space="preserve"> PAGEREF _Toc165382845 \h </w:instrText>
        </w:r>
        <w:r w:rsidR="002002FB">
          <w:rPr>
            <w:noProof/>
            <w:webHidden/>
          </w:rPr>
        </w:r>
        <w:r w:rsidR="002002FB">
          <w:rPr>
            <w:noProof/>
            <w:webHidden/>
          </w:rPr>
          <w:fldChar w:fldCharType="separate"/>
        </w:r>
        <w:r w:rsidR="007E1F49">
          <w:rPr>
            <w:noProof/>
            <w:webHidden/>
          </w:rPr>
          <w:t>17</w:t>
        </w:r>
        <w:r w:rsidR="002002FB">
          <w:rPr>
            <w:noProof/>
            <w:webHidden/>
          </w:rPr>
          <w:fldChar w:fldCharType="end"/>
        </w:r>
      </w:hyperlink>
    </w:p>
    <w:p w14:paraId="6B36C6CC" w14:textId="363B2CD7"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6" w:history="1">
        <w:r w:rsidR="002002FB" w:rsidRPr="006502E8">
          <w:rPr>
            <w:rStyle w:val="Hyperlink"/>
            <w:noProof/>
          </w:rPr>
          <w:t>10. Digital Impact Test</w:t>
        </w:r>
        <w:r w:rsidR="002002FB">
          <w:rPr>
            <w:noProof/>
            <w:webHidden/>
          </w:rPr>
          <w:tab/>
        </w:r>
        <w:r w:rsidR="002002FB">
          <w:rPr>
            <w:noProof/>
            <w:webHidden/>
          </w:rPr>
          <w:fldChar w:fldCharType="begin"/>
        </w:r>
        <w:r w:rsidR="002002FB">
          <w:rPr>
            <w:noProof/>
            <w:webHidden/>
          </w:rPr>
          <w:instrText xml:space="preserve"> PAGEREF _Toc165382846 \h </w:instrText>
        </w:r>
        <w:r w:rsidR="002002FB">
          <w:rPr>
            <w:noProof/>
            <w:webHidden/>
          </w:rPr>
        </w:r>
        <w:r w:rsidR="002002FB">
          <w:rPr>
            <w:noProof/>
            <w:webHidden/>
          </w:rPr>
          <w:fldChar w:fldCharType="separate"/>
        </w:r>
        <w:r w:rsidR="007E1F49">
          <w:rPr>
            <w:noProof/>
            <w:webHidden/>
          </w:rPr>
          <w:t>17</w:t>
        </w:r>
        <w:r w:rsidR="002002FB">
          <w:rPr>
            <w:noProof/>
            <w:webHidden/>
          </w:rPr>
          <w:fldChar w:fldCharType="end"/>
        </w:r>
      </w:hyperlink>
    </w:p>
    <w:p w14:paraId="2F756F3B" w14:textId="2BFD17C8"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7" w:history="1">
        <w:r w:rsidR="002002FB" w:rsidRPr="006502E8">
          <w:rPr>
            <w:rStyle w:val="Hyperlink"/>
            <w:noProof/>
          </w:rPr>
          <w:t>11. Legal Aid Impact Test</w:t>
        </w:r>
        <w:r w:rsidR="002002FB">
          <w:rPr>
            <w:noProof/>
            <w:webHidden/>
          </w:rPr>
          <w:tab/>
        </w:r>
        <w:r w:rsidR="002002FB">
          <w:rPr>
            <w:noProof/>
            <w:webHidden/>
          </w:rPr>
          <w:fldChar w:fldCharType="begin"/>
        </w:r>
        <w:r w:rsidR="002002FB">
          <w:rPr>
            <w:noProof/>
            <w:webHidden/>
          </w:rPr>
          <w:instrText xml:space="preserve"> PAGEREF _Toc165382847 \h </w:instrText>
        </w:r>
        <w:r w:rsidR="002002FB">
          <w:rPr>
            <w:noProof/>
            <w:webHidden/>
          </w:rPr>
        </w:r>
        <w:r w:rsidR="002002FB">
          <w:rPr>
            <w:noProof/>
            <w:webHidden/>
          </w:rPr>
          <w:fldChar w:fldCharType="separate"/>
        </w:r>
        <w:r w:rsidR="007E1F49">
          <w:rPr>
            <w:noProof/>
            <w:webHidden/>
          </w:rPr>
          <w:t>17</w:t>
        </w:r>
        <w:r w:rsidR="002002FB">
          <w:rPr>
            <w:noProof/>
            <w:webHidden/>
          </w:rPr>
          <w:fldChar w:fldCharType="end"/>
        </w:r>
      </w:hyperlink>
    </w:p>
    <w:p w14:paraId="4738EC4C" w14:textId="1ACBE3F3"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8" w:history="1">
        <w:r w:rsidR="002002FB" w:rsidRPr="006502E8">
          <w:rPr>
            <w:rStyle w:val="Hyperlink"/>
            <w:noProof/>
          </w:rPr>
          <w:t>12. Enforcement, Sanctions, and Monitoring</w:t>
        </w:r>
        <w:r w:rsidR="002002FB">
          <w:rPr>
            <w:noProof/>
            <w:webHidden/>
          </w:rPr>
          <w:tab/>
        </w:r>
        <w:r w:rsidR="002002FB">
          <w:rPr>
            <w:noProof/>
            <w:webHidden/>
          </w:rPr>
          <w:fldChar w:fldCharType="begin"/>
        </w:r>
        <w:r w:rsidR="002002FB">
          <w:rPr>
            <w:noProof/>
            <w:webHidden/>
          </w:rPr>
          <w:instrText xml:space="preserve"> PAGEREF _Toc165382848 \h </w:instrText>
        </w:r>
        <w:r w:rsidR="002002FB">
          <w:rPr>
            <w:noProof/>
            <w:webHidden/>
          </w:rPr>
        </w:r>
        <w:r w:rsidR="002002FB">
          <w:rPr>
            <w:noProof/>
            <w:webHidden/>
          </w:rPr>
          <w:fldChar w:fldCharType="separate"/>
        </w:r>
        <w:r w:rsidR="007E1F49">
          <w:rPr>
            <w:noProof/>
            <w:webHidden/>
          </w:rPr>
          <w:t>17</w:t>
        </w:r>
        <w:r w:rsidR="002002FB">
          <w:rPr>
            <w:noProof/>
            <w:webHidden/>
          </w:rPr>
          <w:fldChar w:fldCharType="end"/>
        </w:r>
      </w:hyperlink>
    </w:p>
    <w:p w14:paraId="6DCDEC7C" w14:textId="5F61275A"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49" w:history="1">
        <w:r w:rsidR="002002FB" w:rsidRPr="006502E8">
          <w:rPr>
            <w:rStyle w:val="Hyperlink"/>
            <w:noProof/>
          </w:rPr>
          <w:t>13. Implementation and Delivery Plan</w:t>
        </w:r>
        <w:r w:rsidR="002002FB">
          <w:rPr>
            <w:noProof/>
            <w:webHidden/>
          </w:rPr>
          <w:tab/>
        </w:r>
        <w:r w:rsidR="002002FB">
          <w:rPr>
            <w:noProof/>
            <w:webHidden/>
          </w:rPr>
          <w:fldChar w:fldCharType="begin"/>
        </w:r>
        <w:r w:rsidR="002002FB">
          <w:rPr>
            <w:noProof/>
            <w:webHidden/>
          </w:rPr>
          <w:instrText xml:space="preserve"> PAGEREF _Toc165382849 \h </w:instrText>
        </w:r>
        <w:r w:rsidR="002002FB">
          <w:rPr>
            <w:noProof/>
            <w:webHidden/>
          </w:rPr>
        </w:r>
        <w:r w:rsidR="002002FB">
          <w:rPr>
            <w:noProof/>
            <w:webHidden/>
          </w:rPr>
          <w:fldChar w:fldCharType="separate"/>
        </w:r>
        <w:r w:rsidR="007E1F49">
          <w:rPr>
            <w:noProof/>
            <w:webHidden/>
          </w:rPr>
          <w:t>18</w:t>
        </w:r>
        <w:r w:rsidR="002002FB">
          <w:rPr>
            <w:noProof/>
            <w:webHidden/>
          </w:rPr>
          <w:fldChar w:fldCharType="end"/>
        </w:r>
      </w:hyperlink>
    </w:p>
    <w:p w14:paraId="0FF638D3" w14:textId="49DB27A0"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50" w:history="1">
        <w:r w:rsidR="002002FB" w:rsidRPr="006502E8">
          <w:rPr>
            <w:rStyle w:val="Hyperlink"/>
            <w:noProof/>
          </w:rPr>
          <w:t>14. Summary and Recommendation</w:t>
        </w:r>
        <w:r w:rsidR="002002FB">
          <w:rPr>
            <w:noProof/>
            <w:webHidden/>
          </w:rPr>
          <w:tab/>
        </w:r>
        <w:r w:rsidR="002002FB">
          <w:rPr>
            <w:noProof/>
            <w:webHidden/>
          </w:rPr>
          <w:fldChar w:fldCharType="begin"/>
        </w:r>
        <w:r w:rsidR="002002FB">
          <w:rPr>
            <w:noProof/>
            <w:webHidden/>
          </w:rPr>
          <w:instrText xml:space="preserve"> PAGEREF _Toc165382850 \h </w:instrText>
        </w:r>
        <w:r w:rsidR="002002FB">
          <w:rPr>
            <w:noProof/>
            <w:webHidden/>
          </w:rPr>
        </w:r>
        <w:r w:rsidR="002002FB">
          <w:rPr>
            <w:noProof/>
            <w:webHidden/>
          </w:rPr>
          <w:fldChar w:fldCharType="separate"/>
        </w:r>
        <w:r w:rsidR="007E1F49">
          <w:rPr>
            <w:noProof/>
            <w:webHidden/>
          </w:rPr>
          <w:t>18</w:t>
        </w:r>
        <w:r w:rsidR="002002FB">
          <w:rPr>
            <w:noProof/>
            <w:webHidden/>
          </w:rPr>
          <w:fldChar w:fldCharType="end"/>
        </w:r>
      </w:hyperlink>
    </w:p>
    <w:p w14:paraId="73EEC027" w14:textId="2CD34C2D"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51" w:history="1">
        <w:r w:rsidR="002002FB" w:rsidRPr="006502E8">
          <w:rPr>
            <w:rStyle w:val="Hyperlink"/>
            <w:noProof/>
          </w:rPr>
          <w:t>15. Declaration and Publication</w:t>
        </w:r>
        <w:r w:rsidR="002002FB">
          <w:rPr>
            <w:noProof/>
            <w:webHidden/>
          </w:rPr>
          <w:tab/>
        </w:r>
        <w:r w:rsidR="002002FB">
          <w:rPr>
            <w:noProof/>
            <w:webHidden/>
          </w:rPr>
          <w:fldChar w:fldCharType="begin"/>
        </w:r>
        <w:r w:rsidR="002002FB">
          <w:rPr>
            <w:noProof/>
            <w:webHidden/>
          </w:rPr>
          <w:instrText xml:space="preserve"> PAGEREF _Toc165382851 \h </w:instrText>
        </w:r>
        <w:r w:rsidR="002002FB">
          <w:rPr>
            <w:noProof/>
            <w:webHidden/>
          </w:rPr>
        </w:r>
        <w:r w:rsidR="002002FB">
          <w:rPr>
            <w:noProof/>
            <w:webHidden/>
          </w:rPr>
          <w:fldChar w:fldCharType="separate"/>
        </w:r>
        <w:r w:rsidR="007E1F49">
          <w:rPr>
            <w:noProof/>
            <w:webHidden/>
          </w:rPr>
          <w:t>22</w:t>
        </w:r>
        <w:r w:rsidR="002002FB">
          <w:rPr>
            <w:noProof/>
            <w:webHidden/>
          </w:rPr>
          <w:fldChar w:fldCharType="end"/>
        </w:r>
      </w:hyperlink>
    </w:p>
    <w:p w14:paraId="294E9FA4" w14:textId="5C76CF19"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52" w:history="1">
        <w:r w:rsidR="002002FB" w:rsidRPr="006502E8">
          <w:rPr>
            <w:rStyle w:val="Hyperlink"/>
            <w:noProof/>
          </w:rPr>
          <w:t>16. Annex I. Calculation of Benefits</w:t>
        </w:r>
        <w:r w:rsidR="002002FB">
          <w:rPr>
            <w:noProof/>
            <w:webHidden/>
          </w:rPr>
          <w:tab/>
        </w:r>
        <w:r w:rsidR="002002FB">
          <w:rPr>
            <w:noProof/>
            <w:webHidden/>
          </w:rPr>
          <w:fldChar w:fldCharType="begin"/>
        </w:r>
        <w:r w:rsidR="002002FB">
          <w:rPr>
            <w:noProof/>
            <w:webHidden/>
          </w:rPr>
          <w:instrText xml:space="preserve"> PAGEREF _Toc165382852 \h </w:instrText>
        </w:r>
        <w:r w:rsidR="002002FB">
          <w:rPr>
            <w:noProof/>
            <w:webHidden/>
          </w:rPr>
        </w:r>
        <w:r w:rsidR="002002FB">
          <w:rPr>
            <w:noProof/>
            <w:webHidden/>
          </w:rPr>
          <w:fldChar w:fldCharType="separate"/>
        </w:r>
        <w:r w:rsidR="007E1F49">
          <w:rPr>
            <w:noProof/>
            <w:webHidden/>
          </w:rPr>
          <w:t>23</w:t>
        </w:r>
        <w:r w:rsidR="002002FB">
          <w:rPr>
            <w:noProof/>
            <w:webHidden/>
          </w:rPr>
          <w:fldChar w:fldCharType="end"/>
        </w:r>
      </w:hyperlink>
    </w:p>
    <w:p w14:paraId="484F19A4" w14:textId="14412DF6" w:rsidR="002002FB" w:rsidRDefault="00000000">
      <w:pPr>
        <w:pStyle w:val="TOC1"/>
        <w:rPr>
          <w:rFonts w:asciiTheme="minorHAnsi" w:eastAsiaTheme="minorEastAsia" w:hAnsiTheme="minorHAnsi" w:cstheme="minorBidi"/>
          <w:bCs w:val="0"/>
          <w:noProof/>
          <w:kern w:val="2"/>
          <w:sz w:val="22"/>
          <w:szCs w:val="22"/>
          <w:lang w:eastAsia="en-GB"/>
          <w14:ligatures w14:val="standardContextual"/>
        </w:rPr>
      </w:pPr>
      <w:hyperlink w:anchor="_Toc165382853" w:history="1">
        <w:r w:rsidR="002002FB" w:rsidRPr="006502E8">
          <w:rPr>
            <w:rStyle w:val="Hyperlink"/>
            <w:noProof/>
          </w:rPr>
          <w:t>17. Annex II. Calculation of Costs</w:t>
        </w:r>
        <w:r w:rsidR="002002FB">
          <w:rPr>
            <w:noProof/>
            <w:webHidden/>
          </w:rPr>
          <w:tab/>
        </w:r>
        <w:r w:rsidR="002002FB">
          <w:rPr>
            <w:noProof/>
            <w:webHidden/>
          </w:rPr>
          <w:fldChar w:fldCharType="begin"/>
        </w:r>
        <w:r w:rsidR="002002FB">
          <w:rPr>
            <w:noProof/>
            <w:webHidden/>
          </w:rPr>
          <w:instrText xml:space="preserve"> PAGEREF _Toc165382853 \h </w:instrText>
        </w:r>
        <w:r w:rsidR="002002FB">
          <w:rPr>
            <w:noProof/>
            <w:webHidden/>
          </w:rPr>
        </w:r>
        <w:r w:rsidR="002002FB">
          <w:rPr>
            <w:noProof/>
            <w:webHidden/>
          </w:rPr>
          <w:fldChar w:fldCharType="separate"/>
        </w:r>
        <w:r w:rsidR="007E1F49">
          <w:rPr>
            <w:noProof/>
            <w:webHidden/>
          </w:rPr>
          <w:t>42</w:t>
        </w:r>
        <w:r w:rsidR="002002FB">
          <w:rPr>
            <w:noProof/>
            <w:webHidden/>
          </w:rPr>
          <w:fldChar w:fldCharType="end"/>
        </w:r>
      </w:hyperlink>
    </w:p>
    <w:p w14:paraId="0CBDAC3E" w14:textId="0494B782" w:rsidR="00934648" w:rsidRDefault="00220333">
      <w:pPr>
        <w:spacing w:line="240" w:lineRule="auto"/>
        <w:jc w:val="both"/>
        <w:rPr>
          <w:rFonts w:cstheme="minorHAnsi"/>
          <w:sz w:val="36"/>
        </w:rPr>
      </w:pPr>
      <w:r w:rsidRPr="001011AD">
        <w:rPr>
          <w:rFonts w:asciiTheme="majorHAnsi" w:hAnsiTheme="majorHAnsi" w:cstheme="minorHAnsi"/>
          <w:bCs/>
          <w14:numSpacing w14:val="proportional"/>
        </w:rPr>
        <w:fldChar w:fldCharType="end"/>
      </w:r>
    </w:p>
    <w:p w14:paraId="13AE97C7" w14:textId="77777777" w:rsidR="00A55A93" w:rsidRDefault="00A55A93">
      <w:pPr>
        <w:spacing w:line="240" w:lineRule="auto"/>
        <w:jc w:val="both"/>
        <w:rPr>
          <w:rFonts w:cstheme="minorHAnsi"/>
          <w:sz w:val="36"/>
        </w:rPr>
      </w:pPr>
    </w:p>
    <w:p w14:paraId="439B446E" w14:textId="41C9BC6C" w:rsidR="00A55A93" w:rsidRDefault="00A55A93">
      <w:pPr>
        <w:spacing w:line="240" w:lineRule="auto"/>
        <w:jc w:val="both"/>
        <w:rPr>
          <w:rFonts w:cstheme="minorHAnsi"/>
          <w:sz w:val="36"/>
        </w:rPr>
        <w:sectPr w:rsidR="00A55A93" w:rsidSect="00224E48">
          <w:pgSz w:w="11906" w:h="16838" w:code="9"/>
          <w:pgMar w:top="1440" w:right="1080" w:bottom="1440" w:left="1080" w:header="720" w:footer="720" w:gutter="0"/>
          <w:pgNumType w:fmt="lowerRoman" w:start="1"/>
          <w:cols w:space="708"/>
          <w:titlePg/>
          <w:docGrid w:linePitch="360"/>
        </w:sectPr>
      </w:pPr>
    </w:p>
    <w:p w14:paraId="508DF127" w14:textId="029AB0CE" w:rsidR="4CFA975C" w:rsidRPr="00A0421A" w:rsidRDefault="4CFA975C" w:rsidP="00140553">
      <w:pPr>
        <w:pStyle w:val="Heading1"/>
      </w:pPr>
      <w:bookmarkStart w:id="1" w:name="_Toc164407105"/>
      <w:bookmarkStart w:id="2" w:name="_Toc165382837"/>
      <w:r w:rsidRPr="00A0421A">
        <w:t>Title of Proposal</w:t>
      </w:r>
      <w:bookmarkEnd w:id="1"/>
      <w:bookmarkEnd w:id="2"/>
    </w:p>
    <w:p w14:paraId="50A44008" w14:textId="0CF449FD" w:rsidR="4CFA975C" w:rsidRPr="009D1945" w:rsidRDefault="00861D37" w:rsidP="5CF493D4">
      <w:r>
        <w:t xml:space="preserve">Amending </w:t>
      </w:r>
      <w:r w:rsidR="4CFA975C" w:rsidRPr="009D1945">
        <w:t>the Bread and Flour Regulations 1998</w:t>
      </w:r>
      <w:r w:rsidR="00D819F4" w:rsidRPr="009D1945">
        <w:t>.</w:t>
      </w:r>
    </w:p>
    <w:p w14:paraId="33A837A7" w14:textId="09EF2245" w:rsidR="00D51F63" w:rsidRPr="00DD3CD6" w:rsidRDefault="6D04E12D" w:rsidP="00F56272">
      <w:pPr>
        <w:pStyle w:val="Heading1"/>
      </w:pPr>
      <w:bookmarkStart w:id="3" w:name="_Toc141427903"/>
      <w:bookmarkStart w:id="4" w:name="_Toc141427986"/>
      <w:bookmarkStart w:id="5" w:name="_Toc142556664"/>
      <w:bookmarkStart w:id="6" w:name="_Toc164407106"/>
      <w:bookmarkStart w:id="7" w:name="_Toc165382838"/>
      <w:r>
        <w:t>Purpose and Intended Effect</w:t>
      </w:r>
      <w:bookmarkEnd w:id="3"/>
      <w:bookmarkEnd w:id="4"/>
      <w:bookmarkEnd w:id="5"/>
      <w:bookmarkEnd w:id="6"/>
      <w:bookmarkEnd w:id="7"/>
    </w:p>
    <w:p w14:paraId="020E4F0C" w14:textId="5A2E09D4" w:rsidR="00B927A0" w:rsidRPr="007B0647" w:rsidRDefault="014E78CF" w:rsidP="00DA0433">
      <w:pPr>
        <w:pStyle w:val="Heading2"/>
      </w:pPr>
      <w:bookmarkStart w:id="8" w:name="_Toc141427905"/>
      <w:bookmarkStart w:id="9" w:name="_Toc141427988"/>
      <w:r w:rsidRPr="00DA0433">
        <w:t>Background</w:t>
      </w:r>
      <w:bookmarkEnd w:id="8"/>
      <w:bookmarkEnd w:id="9"/>
    </w:p>
    <w:p w14:paraId="52F6759D" w14:textId="737C2D97" w:rsidR="00B927A0" w:rsidRDefault="62B4F3F6" w:rsidP="00E41313">
      <w:r>
        <w:t>The Bread and Flour Regulations 1998 (</w:t>
      </w:r>
      <w:r w:rsidR="002319D1">
        <w:t xml:space="preserve">hereafter </w:t>
      </w:r>
      <w:r w:rsidR="06965E55">
        <w:t>‘</w:t>
      </w:r>
      <w:r>
        <w:t>the Regulations</w:t>
      </w:r>
      <w:r w:rsidR="154D5F5C">
        <w:t>’</w:t>
      </w:r>
      <w:r w:rsidR="002319D1">
        <w:t xml:space="preserve"> or </w:t>
      </w:r>
      <w:r w:rsidR="5A8E6AC3">
        <w:t>‘</w:t>
      </w:r>
      <w:r w:rsidR="002319D1">
        <w:t>BFR</w:t>
      </w:r>
      <w:r w:rsidR="5B409E73">
        <w:t>’</w:t>
      </w:r>
      <w:r>
        <w:t xml:space="preserve">) lay down specific labelling and compositional rules for bread and flour sold in Scotland. Under these rules non-wholemeal wheat flour </w:t>
      </w:r>
      <w:r w:rsidR="00332E62">
        <w:t xml:space="preserve">(NWWF) </w:t>
      </w:r>
      <w:r>
        <w:t xml:space="preserve">is required to contain specific quantities of certain vitamins and minerals. The </w:t>
      </w:r>
      <w:r w:rsidR="70ACB85F">
        <w:t>R</w:t>
      </w:r>
      <w:r>
        <w:t>egulations also lay down chemical specifications for those compulsory added vitamins and minerals.</w:t>
      </w:r>
    </w:p>
    <w:p w14:paraId="4BA6178C" w14:textId="77777777" w:rsidR="001E1EB9" w:rsidRDefault="001E1EB9" w:rsidP="017C06D8">
      <w:pPr>
        <w:shd w:val="clear" w:color="auto" w:fill="FFFFFF" w:themeFill="background1"/>
        <w:ind w:left="720"/>
      </w:pPr>
    </w:p>
    <w:p w14:paraId="5DAE98C4" w14:textId="1FE6E1C7" w:rsidR="001E1EB9" w:rsidRDefault="4A40F038" w:rsidP="00E41313">
      <w:pPr>
        <w:rPr>
          <w:color w:val="009CBD" w:themeColor="accent4"/>
        </w:rPr>
      </w:pPr>
      <w:r>
        <w:t>Food Standards Scotland</w:t>
      </w:r>
      <w:r w:rsidR="125F9D01">
        <w:t xml:space="preserve"> (FSS)</w:t>
      </w:r>
      <w:r>
        <w:t xml:space="preserve"> is consulting on the implementation of the amendments to the Regulations in Scotland which includes the introduction of the mandatory fortification of flour with folic acid. This follows the 12 week UK</w:t>
      </w:r>
      <w:r w:rsidR="23DB850E">
        <w:t>-</w:t>
      </w:r>
      <w:r>
        <w:t xml:space="preserve">wide consultation published in </w:t>
      </w:r>
      <w:r w:rsidR="00D47614">
        <w:t>September</w:t>
      </w:r>
      <w:r>
        <w:t xml:space="preserve"> 2022 and the publication of the Consultation and Government response published on </w:t>
      </w:r>
      <w:r w:rsidR="437AE69A">
        <w:t xml:space="preserve">17 January 2024 </w:t>
      </w:r>
      <w:r>
        <w:t xml:space="preserve">which </w:t>
      </w:r>
      <w:r w:rsidR="4A7C2C5C">
        <w:t>confirm</w:t>
      </w:r>
      <w:r w:rsidR="136BF67E">
        <w:t>ed</w:t>
      </w:r>
      <w:r>
        <w:t xml:space="preserve"> that the Regulations </w:t>
      </w:r>
      <w:r w:rsidR="44E8DAFB">
        <w:t xml:space="preserve">are to be amended </w:t>
      </w:r>
      <w:r>
        <w:t>as follows</w:t>
      </w:r>
      <w:r w:rsidR="13B860E7">
        <w:t>:</w:t>
      </w:r>
    </w:p>
    <w:p w14:paraId="3A5F4361" w14:textId="2E892073" w:rsidR="00B927A0" w:rsidRDefault="62B4F3F6" w:rsidP="017C06D8">
      <w:pPr>
        <w:shd w:val="clear" w:color="auto" w:fill="FFFFFF" w:themeFill="background1"/>
        <w:ind w:left="720"/>
      </w:pPr>
      <w:r w:rsidRPr="017C06D8">
        <w:rPr>
          <w:rFonts w:ascii="Arial" w:eastAsia="Arial" w:hAnsi="Arial" w:cs="Arial"/>
          <w:color w:val="000000" w:themeColor="text1"/>
        </w:rPr>
        <w:t xml:space="preserve"> </w:t>
      </w:r>
    </w:p>
    <w:p w14:paraId="61514E20" w14:textId="77777777" w:rsidR="00E41313" w:rsidRDefault="62B4F3F6" w:rsidP="00CC205C">
      <w:pPr>
        <w:pStyle w:val="ListParagraph"/>
        <w:numPr>
          <w:ilvl w:val="0"/>
          <w:numId w:val="21"/>
        </w:numPr>
      </w:pPr>
      <w:r w:rsidRPr="017C06D8">
        <w:t>Implement the public health policy across the UK to mandate the compulsory fortification of non-wholemeal wheat flour with 250 micrograms of folic acid per 100 grams of non-wholemeal wheat flour.</w:t>
      </w:r>
    </w:p>
    <w:p w14:paraId="130D5084" w14:textId="742A6457" w:rsidR="00E41313" w:rsidRPr="00E41313" w:rsidRDefault="62B4F3F6" w:rsidP="00CC205C">
      <w:pPr>
        <w:pStyle w:val="ListParagraph"/>
        <w:numPr>
          <w:ilvl w:val="0"/>
          <w:numId w:val="21"/>
        </w:numPr>
      </w:pPr>
      <w:r w:rsidRPr="00E41313">
        <w:rPr>
          <w:rFonts w:ascii="Arial" w:eastAsia="Arial" w:hAnsi="Arial" w:cs="Arial"/>
        </w:rPr>
        <w:t>Increase</w:t>
      </w:r>
      <w:r w:rsidRPr="00E41313">
        <w:rPr>
          <w:rFonts w:ascii="Arial" w:eastAsia="Arial" w:hAnsi="Arial" w:cs="Arial"/>
          <w:color w:val="44546A"/>
        </w:rPr>
        <w:t xml:space="preserve"> </w:t>
      </w:r>
      <w:r w:rsidRPr="00E41313">
        <w:rPr>
          <w:rFonts w:ascii="Arial" w:eastAsia="Arial" w:hAnsi="Arial" w:cs="Arial"/>
        </w:rPr>
        <w:t>the minimum level of calcium carbonate, iron, and niacin in non-wholemeal wheat flour in line with the 15% Nutrient Reference Value (NRV) per 100g of flour.</w:t>
      </w:r>
      <w:r w:rsidR="00D8624C">
        <w:rPr>
          <w:rFonts w:ascii="Arial" w:eastAsia="Arial" w:hAnsi="Arial" w:cs="Arial"/>
        </w:rPr>
        <w:t xml:space="preserve"> </w:t>
      </w:r>
    </w:p>
    <w:p w14:paraId="7C5335FA" w14:textId="33EEF86E" w:rsidR="00E41313" w:rsidRPr="00E41313" w:rsidRDefault="62B4F3F6" w:rsidP="00CC205C">
      <w:pPr>
        <w:pStyle w:val="ListParagraph"/>
        <w:numPr>
          <w:ilvl w:val="0"/>
          <w:numId w:val="21"/>
        </w:numPr>
      </w:pPr>
      <w:r w:rsidRPr="00E41313">
        <w:rPr>
          <w:rFonts w:ascii="Arial" w:eastAsia="Arial" w:hAnsi="Arial" w:cs="Arial"/>
        </w:rPr>
        <w:t xml:space="preserve">Replace the calcium specification in the </w:t>
      </w:r>
      <w:r w:rsidR="00D8669B">
        <w:rPr>
          <w:rFonts w:ascii="Arial" w:eastAsia="Arial" w:hAnsi="Arial" w:cs="Arial"/>
        </w:rPr>
        <w:t>BFR</w:t>
      </w:r>
      <w:r w:rsidRPr="00E41313">
        <w:rPr>
          <w:rFonts w:ascii="Arial" w:eastAsia="Arial" w:hAnsi="Arial" w:cs="Arial"/>
        </w:rPr>
        <w:t xml:space="preserve"> with the specification laid out in Regulation EC 231/2012 laying down the specifications for Food Additives.</w:t>
      </w:r>
      <w:r w:rsidRPr="00E41313">
        <w:rPr>
          <w:rFonts w:ascii="Times New Roman" w:eastAsia="Times New Roman" w:hAnsi="Times New Roman" w:cs="Times New Roman"/>
        </w:rPr>
        <w:t xml:space="preserve"> </w:t>
      </w:r>
    </w:p>
    <w:p w14:paraId="176C0A5C" w14:textId="3620BA5B" w:rsidR="00E41313" w:rsidRPr="00E41313" w:rsidRDefault="62B4F3F6" w:rsidP="7B5CF8CD">
      <w:pPr>
        <w:pStyle w:val="ListParagraph"/>
        <w:numPr>
          <w:ilvl w:val="0"/>
          <w:numId w:val="21"/>
        </w:numPr>
        <w:rPr>
          <w:rFonts w:ascii="Arial" w:eastAsia="Arial" w:hAnsi="Arial" w:cs="Arial"/>
        </w:rPr>
      </w:pPr>
      <w:r w:rsidRPr="7B5CF8CD">
        <w:rPr>
          <w:rFonts w:ascii="Arial" w:eastAsia="Arial" w:hAnsi="Arial" w:cs="Arial"/>
        </w:rPr>
        <w:t xml:space="preserve">Specify in the </w:t>
      </w:r>
      <w:r w:rsidR="00435466">
        <w:rPr>
          <w:rFonts w:ascii="Arial" w:eastAsia="Arial" w:hAnsi="Arial" w:cs="Arial"/>
        </w:rPr>
        <w:t>R</w:t>
      </w:r>
      <w:r w:rsidRPr="7B5CF8CD">
        <w:rPr>
          <w:rFonts w:ascii="Arial" w:eastAsia="Arial" w:hAnsi="Arial" w:cs="Arial"/>
        </w:rPr>
        <w:t>egulations that fortification only applies to non-wholemeal wheat flour derived from “common wheat”.</w:t>
      </w:r>
    </w:p>
    <w:p w14:paraId="0E1785EF" w14:textId="77777777" w:rsidR="00E41313" w:rsidRPr="00E41313" w:rsidRDefault="62B4F3F6" w:rsidP="00CC205C">
      <w:pPr>
        <w:pStyle w:val="ListParagraph"/>
        <w:numPr>
          <w:ilvl w:val="0"/>
          <w:numId w:val="21"/>
        </w:numPr>
      </w:pPr>
      <w:r w:rsidRPr="00E41313">
        <w:rPr>
          <w:rFonts w:ascii="Arial" w:eastAsia="Arial" w:hAnsi="Arial" w:cs="Arial"/>
        </w:rPr>
        <w:t>Introduce an exemption from fortification for flour produced by small-scale mills (applying to those producing less than 500 metric tonnes per annum).</w:t>
      </w:r>
      <w:r w:rsidRPr="00E41313">
        <w:rPr>
          <w:rFonts w:ascii="Times New Roman" w:eastAsia="Times New Roman" w:hAnsi="Times New Roman" w:cs="Times New Roman"/>
        </w:rPr>
        <w:t xml:space="preserve"> </w:t>
      </w:r>
    </w:p>
    <w:p w14:paraId="044A028F" w14:textId="77777777" w:rsidR="00E41313" w:rsidRPr="00E41313" w:rsidRDefault="62B4F3F6" w:rsidP="00CC205C">
      <w:pPr>
        <w:pStyle w:val="ListParagraph"/>
        <w:numPr>
          <w:ilvl w:val="0"/>
          <w:numId w:val="21"/>
        </w:numPr>
      </w:pPr>
      <w:r w:rsidRPr="00E41313">
        <w:rPr>
          <w:rFonts w:ascii="Arial" w:eastAsia="Arial" w:hAnsi="Arial" w:cs="Arial"/>
        </w:rPr>
        <w:t>Remove the requirement relating to minimum levels of iron, thiamine and niacin naturally present in wholemeal flour and replace with a legal definition that wholemeal flour must consist of the whole product from the milling and grinding of cleaned cereal.</w:t>
      </w:r>
      <w:r w:rsidRPr="00E41313">
        <w:rPr>
          <w:rFonts w:ascii="Times New Roman" w:eastAsia="Times New Roman" w:hAnsi="Times New Roman" w:cs="Times New Roman"/>
        </w:rPr>
        <w:t xml:space="preserve"> </w:t>
      </w:r>
    </w:p>
    <w:p w14:paraId="719299C4" w14:textId="70E7F642" w:rsidR="00B927A0" w:rsidRPr="00E41313" w:rsidRDefault="62B4F3F6" w:rsidP="00CC205C">
      <w:pPr>
        <w:pStyle w:val="ListParagraph"/>
        <w:numPr>
          <w:ilvl w:val="0"/>
          <w:numId w:val="21"/>
        </w:numPr>
      </w:pPr>
      <w:r w:rsidRPr="00E41313">
        <w:rPr>
          <w:rFonts w:ascii="Arial" w:eastAsia="Arial" w:hAnsi="Arial" w:cs="Arial"/>
        </w:rPr>
        <w:t xml:space="preserve">Provide for an adjustment period of 24 </w:t>
      </w:r>
      <w:r w:rsidR="00C0566A" w:rsidRPr="00E41313">
        <w:rPr>
          <w:rFonts w:ascii="Arial" w:eastAsia="Arial" w:hAnsi="Arial" w:cs="Arial"/>
        </w:rPr>
        <w:t>months.</w:t>
      </w:r>
      <w:r w:rsidR="00D8624C">
        <w:rPr>
          <w:rFonts w:ascii="Arial" w:eastAsia="Arial" w:hAnsi="Arial" w:cs="Arial"/>
        </w:rPr>
        <w:t xml:space="preserve"> </w:t>
      </w:r>
    </w:p>
    <w:p w14:paraId="08FB7F62" w14:textId="77777777" w:rsidR="00E41313" w:rsidRDefault="00E41313" w:rsidP="00E41313">
      <w:pPr>
        <w:shd w:val="clear" w:color="auto" w:fill="FFFFFF" w:themeFill="background1"/>
        <w:rPr>
          <w:rFonts w:ascii="Arial" w:eastAsia="Arial" w:hAnsi="Arial" w:cs="Arial"/>
          <w:b/>
          <w:bCs/>
          <w:color w:val="333333"/>
        </w:rPr>
      </w:pPr>
    </w:p>
    <w:p w14:paraId="3CC717CB" w14:textId="6E22C995" w:rsidR="00B927A0" w:rsidRDefault="62B4F3F6" w:rsidP="2A0F0431">
      <w:pPr>
        <w:shd w:val="clear" w:color="auto" w:fill="FFFFFF" w:themeFill="background1"/>
        <w:rPr>
          <w:rFonts w:ascii="Arial" w:eastAsia="Arial" w:hAnsi="Arial" w:cs="Arial"/>
          <w:b/>
          <w:bCs/>
          <w:color w:val="333333"/>
        </w:rPr>
      </w:pPr>
      <w:r w:rsidRPr="2A0F0431">
        <w:rPr>
          <w:rFonts w:ascii="Arial" w:eastAsia="Arial" w:hAnsi="Arial" w:cs="Arial"/>
          <w:b/>
          <w:bCs/>
          <w:color w:val="333333"/>
        </w:rPr>
        <w:t xml:space="preserve">This partial BRIA </w:t>
      </w:r>
      <w:r w:rsidR="00936CC6" w:rsidRPr="2A0F0431">
        <w:rPr>
          <w:rFonts w:ascii="Arial" w:eastAsia="Arial" w:hAnsi="Arial" w:cs="Arial"/>
          <w:b/>
          <w:bCs/>
          <w:color w:val="333333"/>
        </w:rPr>
        <w:t>is required to support</w:t>
      </w:r>
      <w:r w:rsidRPr="2A0F0431">
        <w:rPr>
          <w:rFonts w:ascii="Arial" w:eastAsia="Arial" w:hAnsi="Arial" w:cs="Arial"/>
          <w:b/>
          <w:bCs/>
          <w:color w:val="333333"/>
        </w:rPr>
        <w:t xml:space="preserve"> the consultation on the implementation of the </w:t>
      </w:r>
      <w:r w:rsidR="00E83533" w:rsidRPr="2A0F0431">
        <w:rPr>
          <w:rFonts w:ascii="Arial" w:eastAsia="Arial" w:hAnsi="Arial" w:cs="Arial"/>
          <w:b/>
          <w:bCs/>
          <w:color w:val="333333"/>
        </w:rPr>
        <w:t xml:space="preserve">amending </w:t>
      </w:r>
      <w:r w:rsidRPr="2A0F0431">
        <w:rPr>
          <w:rFonts w:ascii="Arial" w:eastAsia="Arial" w:hAnsi="Arial" w:cs="Arial"/>
          <w:b/>
          <w:bCs/>
          <w:color w:val="333333"/>
        </w:rPr>
        <w:t>Regulations in Scotland to consider if there are any additional Scottish specific implications concerning the implementation of these changes that has not already been raised</w:t>
      </w:r>
      <w:r w:rsidR="00987726" w:rsidRPr="2A0F0431">
        <w:rPr>
          <w:rFonts w:ascii="Arial" w:eastAsia="Arial" w:hAnsi="Arial" w:cs="Arial"/>
          <w:b/>
          <w:bCs/>
          <w:color w:val="333333"/>
        </w:rPr>
        <w:t xml:space="preserve"> in discussion or in response to the</w:t>
      </w:r>
      <w:r w:rsidR="00987726">
        <w:t xml:space="preserve"> </w:t>
      </w:r>
      <w:r w:rsidR="00987726" w:rsidRPr="2A0F0431">
        <w:rPr>
          <w:rFonts w:ascii="Arial" w:eastAsia="Arial" w:hAnsi="Arial" w:cs="Arial"/>
          <w:b/>
          <w:bCs/>
          <w:color w:val="333333"/>
        </w:rPr>
        <w:t xml:space="preserve">12 week UK-wide consultation published in </w:t>
      </w:r>
      <w:r w:rsidR="00D47614">
        <w:rPr>
          <w:rFonts w:ascii="Arial" w:eastAsia="Arial" w:hAnsi="Arial" w:cs="Arial"/>
          <w:b/>
          <w:bCs/>
          <w:color w:val="333333"/>
        </w:rPr>
        <w:t>September</w:t>
      </w:r>
      <w:r w:rsidR="00987726" w:rsidRPr="2A0F0431">
        <w:rPr>
          <w:rFonts w:ascii="Arial" w:eastAsia="Arial" w:hAnsi="Arial" w:cs="Arial"/>
          <w:b/>
          <w:bCs/>
          <w:color w:val="333333"/>
        </w:rPr>
        <w:t xml:space="preserve"> 2022</w:t>
      </w:r>
      <w:r w:rsidRPr="2A0F0431">
        <w:rPr>
          <w:rFonts w:ascii="Arial" w:eastAsia="Arial" w:hAnsi="Arial" w:cs="Arial"/>
          <w:b/>
          <w:bCs/>
          <w:color w:val="333333"/>
        </w:rPr>
        <w:t>.</w:t>
      </w:r>
    </w:p>
    <w:p w14:paraId="76EBA491" w14:textId="71ECB25A" w:rsidR="00B927A0" w:rsidRDefault="00B927A0" w:rsidP="017C06D8">
      <w:pPr>
        <w:shd w:val="clear" w:color="auto" w:fill="FFFFFF" w:themeFill="background1"/>
        <w:ind w:left="720"/>
        <w:rPr>
          <w:rFonts w:ascii="Arial" w:eastAsia="Arial" w:hAnsi="Arial" w:cs="Arial"/>
          <w:b/>
          <w:bCs/>
          <w:color w:val="333333"/>
        </w:rPr>
      </w:pPr>
    </w:p>
    <w:p w14:paraId="47181F83" w14:textId="07B957D2" w:rsidR="00B927A0" w:rsidRDefault="327B141D" w:rsidP="00DA0433">
      <w:pPr>
        <w:pStyle w:val="Heading2"/>
      </w:pPr>
      <w:r w:rsidRPr="595AB009">
        <w:t>Objective</w:t>
      </w:r>
      <w:r w:rsidR="51F17561" w:rsidRPr="595AB009">
        <w:t>s</w:t>
      </w:r>
    </w:p>
    <w:p w14:paraId="38B32B7A" w14:textId="6A804EED" w:rsidR="00B927A0" w:rsidRPr="008A22A9" w:rsidRDefault="008A22A9" w:rsidP="0D8D2513">
      <w:pPr>
        <w:pStyle w:val="Heading3"/>
        <w:numPr>
          <w:ilvl w:val="2"/>
          <w:numId w:val="0"/>
        </w:numPr>
        <w:rPr>
          <w:b w:val="0"/>
          <w:bCs w:val="0"/>
          <w:u w:val="single"/>
        </w:rPr>
      </w:pPr>
      <w:r w:rsidRPr="008A22A9">
        <w:rPr>
          <w:rFonts w:eastAsia="Arial"/>
          <w:b w:val="0"/>
          <w:bCs w:val="0"/>
          <w:u w:val="single"/>
        </w:rPr>
        <w:t xml:space="preserve">2.2.1 </w:t>
      </w:r>
      <w:r w:rsidR="0EBEC5E1" w:rsidRPr="008A22A9">
        <w:rPr>
          <w:rFonts w:eastAsia="Arial"/>
          <w:b w:val="0"/>
          <w:bCs w:val="0"/>
          <w:u w:val="single"/>
        </w:rPr>
        <w:t>Folic acid</w:t>
      </w:r>
      <w:r w:rsidR="0EBEC5E1" w:rsidRPr="008A22A9">
        <w:rPr>
          <w:rFonts w:ascii="Times New Roman" w:eastAsia="Times New Roman" w:hAnsi="Times New Roman" w:cs="Times New Roman"/>
          <w:b w:val="0"/>
          <w:bCs w:val="0"/>
          <w:color w:val="0078D4"/>
          <w:u w:val="single"/>
        </w:rPr>
        <w:t xml:space="preserve"> </w:t>
      </w:r>
    </w:p>
    <w:p w14:paraId="39929B0B" w14:textId="62F60E38" w:rsidR="00B927A0" w:rsidRDefault="3CFA7B4D" w:rsidP="00D8669B">
      <w:r w:rsidRPr="017C06D8">
        <w:rPr>
          <w:rFonts w:ascii="Arial" w:eastAsia="Arial" w:hAnsi="Arial" w:cs="Arial"/>
        </w:rPr>
        <w:t>The objective of this intervention is to reduce the incidence of neural tube defects in Scotland by increasing the dietary intake of folic acid, and therefore blood folate levels in women of childbearing age.</w:t>
      </w:r>
    </w:p>
    <w:p w14:paraId="758528F6" w14:textId="77D6325B" w:rsidR="00B927A0" w:rsidRPr="008A22A9" w:rsidRDefault="008A22A9" w:rsidP="0D8D2513">
      <w:pPr>
        <w:pStyle w:val="Heading3"/>
        <w:numPr>
          <w:ilvl w:val="2"/>
          <w:numId w:val="0"/>
        </w:numPr>
        <w:rPr>
          <w:b w:val="0"/>
          <w:bCs w:val="0"/>
          <w:u w:val="single"/>
        </w:rPr>
      </w:pPr>
      <w:r w:rsidRPr="008A22A9">
        <w:rPr>
          <w:rFonts w:eastAsia="Arial"/>
          <w:b w:val="0"/>
          <w:bCs w:val="0"/>
          <w:u w:val="single"/>
        </w:rPr>
        <w:t xml:space="preserve">2.2.2 </w:t>
      </w:r>
      <w:r w:rsidR="0EBEC5E1" w:rsidRPr="008A22A9">
        <w:rPr>
          <w:rFonts w:eastAsia="Arial"/>
          <w:b w:val="0"/>
          <w:bCs w:val="0"/>
          <w:u w:val="single"/>
        </w:rPr>
        <w:t>Other amendments</w:t>
      </w:r>
      <w:r w:rsidR="0EBEC5E1" w:rsidRPr="008A22A9">
        <w:rPr>
          <w:rFonts w:ascii="Times New Roman" w:eastAsia="Times New Roman" w:hAnsi="Times New Roman" w:cs="Times New Roman"/>
          <w:b w:val="0"/>
          <w:bCs w:val="0"/>
          <w:color w:val="0078D4"/>
          <w:u w:val="single"/>
        </w:rPr>
        <w:t xml:space="preserve"> </w:t>
      </w:r>
    </w:p>
    <w:p w14:paraId="02883D4B" w14:textId="3C56F8DB" w:rsidR="00B927A0" w:rsidRDefault="3CFA7B4D" w:rsidP="00E41313">
      <w:pPr>
        <w:rPr>
          <w:rFonts w:ascii="Arial" w:eastAsia="Arial" w:hAnsi="Arial" w:cs="Arial"/>
        </w:rPr>
      </w:pPr>
      <w:r w:rsidRPr="017C06D8">
        <w:rPr>
          <w:rFonts w:ascii="Arial" w:eastAsia="Arial" w:hAnsi="Arial" w:cs="Arial"/>
        </w:rPr>
        <w:t>The objective of the other interventions is to update and improve the Regulations by</w:t>
      </w:r>
      <w:r w:rsidR="00E41313">
        <w:rPr>
          <w:rFonts w:ascii="Arial" w:eastAsia="Arial" w:hAnsi="Arial" w:cs="Arial"/>
        </w:rPr>
        <w:t xml:space="preserve"> a</w:t>
      </w:r>
      <w:r w:rsidRPr="00E41313">
        <w:rPr>
          <w:rFonts w:ascii="Arial" w:eastAsia="Arial" w:hAnsi="Arial" w:cs="Arial"/>
        </w:rPr>
        <w:t>ligning the fortification requirements with overlapping food regulations to ensure that the understanding of the Regulations is consistent throughout industry and enforcement.</w:t>
      </w:r>
      <w:r w:rsidR="00BD12EE">
        <w:rPr>
          <w:rFonts w:ascii="Arial" w:eastAsia="Arial" w:hAnsi="Arial" w:cs="Arial"/>
        </w:rPr>
        <w:t xml:space="preserve"> Key considerations for these measures include:</w:t>
      </w:r>
    </w:p>
    <w:p w14:paraId="22A96CB0" w14:textId="77777777" w:rsidR="00E41313" w:rsidRPr="00E41313" w:rsidRDefault="00E41313" w:rsidP="00E41313">
      <w:pPr>
        <w:rPr>
          <w:rFonts w:ascii="Times New Roman" w:eastAsia="Times New Roman" w:hAnsi="Times New Roman" w:cs="Times New Roman"/>
        </w:rPr>
      </w:pPr>
    </w:p>
    <w:p w14:paraId="06D22869" w14:textId="12D6A65C" w:rsidR="00BD12EE" w:rsidRDefault="327B141D" w:rsidP="00CC205C">
      <w:pPr>
        <w:pStyle w:val="ListParagraph"/>
        <w:numPr>
          <w:ilvl w:val="0"/>
          <w:numId w:val="22"/>
        </w:numPr>
      </w:pPr>
      <w:r>
        <w:t xml:space="preserve">Clarifying the scope of the regulations to enable consistent understanding and interpretation regarding the type of flour that is subject to the </w:t>
      </w:r>
      <w:r w:rsidR="5EBEA229">
        <w:t>fortification</w:t>
      </w:r>
      <w:r>
        <w:t xml:space="preserve"> requirements</w:t>
      </w:r>
      <w:r w:rsidR="4EC19FC4">
        <w:t>.</w:t>
      </w:r>
    </w:p>
    <w:p w14:paraId="094E0B7D" w14:textId="77777777" w:rsidR="00BD12EE" w:rsidRDefault="00BD12EE" w:rsidP="00BD12EE">
      <w:pPr>
        <w:pStyle w:val="ListParagraph"/>
      </w:pPr>
    </w:p>
    <w:p w14:paraId="61656582" w14:textId="0B5B1C6B" w:rsidR="00B927A0" w:rsidRPr="00BD12EE" w:rsidRDefault="3CFA7B4D" w:rsidP="00CC205C">
      <w:pPr>
        <w:pStyle w:val="ListParagraph"/>
        <w:numPr>
          <w:ilvl w:val="0"/>
          <w:numId w:val="22"/>
        </w:numPr>
      </w:pPr>
      <w:r w:rsidRPr="142CF79B">
        <w:rPr>
          <w:rFonts w:ascii="Arial" w:eastAsia="Arial" w:hAnsi="Arial" w:cs="Arial"/>
        </w:rPr>
        <w:t xml:space="preserve">Ensuring that the regulations are not disproportionately burdensome on businesses by introducing </w:t>
      </w:r>
      <w:r w:rsidR="3E024CFF" w:rsidRPr="142CF79B">
        <w:rPr>
          <w:rFonts w:ascii="Arial" w:eastAsia="Arial" w:hAnsi="Arial" w:cs="Arial"/>
        </w:rPr>
        <w:t xml:space="preserve">an </w:t>
      </w:r>
      <w:r w:rsidRPr="142CF79B">
        <w:rPr>
          <w:rFonts w:ascii="Arial" w:eastAsia="Arial" w:hAnsi="Arial" w:cs="Arial"/>
        </w:rPr>
        <w:t>exemption which do</w:t>
      </w:r>
      <w:r w:rsidR="6FBED801" w:rsidRPr="142CF79B">
        <w:rPr>
          <w:rFonts w:ascii="Arial" w:eastAsia="Arial" w:hAnsi="Arial" w:cs="Arial"/>
        </w:rPr>
        <w:t>es</w:t>
      </w:r>
      <w:r w:rsidRPr="142CF79B">
        <w:rPr>
          <w:rFonts w:ascii="Arial" w:eastAsia="Arial" w:hAnsi="Arial" w:cs="Arial"/>
        </w:rPr>
        <w:t xml:space="preserve"> not compromise the public health outcomes which the regulations are designed to uphold.</w:t>
      </w:r>
    </w:p>
    <w:p w14:paraId="71F3BB76" w14:textId="77777777" w:rsidR="00591186" w:rsidRDefault="00591186" w:rsidP="00591186"/>
    <w:p w14:paraId="4D211855" w14:textId="120F5CF9" w:rsidR="00BD4A48" w:rsidRPr="008A22A9" w:rsidRDefault="008A22A9" w:rsidP="00961511">
      <w:pPr>
        <w:rPr>
          <w:u w:val="single"/>
        </w:rPr>
      </w:pPr>
      <w:r w:rsidRPr="5314016D">
        <w:rPr>
          <w:u w:val="single"/>
        </w:rPr>
        <w:t xml:space="preserve">2.2.3 </w:t>
      </w:r>
      <w:r w:rsidR="3CFA7B4D" w:rsidRPr="5314016D">
        <w:rPr>
          <w:u w:val="single"/>
        </w:rPr>
        <w:t>On a measure-by-measure basis, the policy objectives are</w:t>
      </w:r>
      <w:r w:rsidR="00FD6C3B">
        <w:rPr>
          <w:u w:val="single"/>
        </w:rPr>
        <w:t xml:space="preserve"> </w:t>
      </w:r>
      <w:r w:rsidR="3CFA7B4D" w:rsidRPr="5314016D">
        <w:rPr>
          <w:u w:val="single"/>
        </w:rPr>
        <w:t>as follows:</w:t>
      </w:r>
    </w:p>
    <w:p w14:paraId="3F97D5B4" w14:textId="77777777" w:rsidR="00106ECD" w:rsidRPr="00961511" w:rsidRDefault="00106ECD" w:rsidP="00961511">
      <w:pPr>
        <w:rPr>
          <w:b/>
          <w:bCs/>
        </w:rPr>
      </w:pPr>
    </w:p>
    <w:p w14:paraId="7B09F949" w14:textId="1309D0B5" w:rsidR="00B927A0" w:rsidRPr="007B0647" w:rsidRDefault="0EBEC5E1" w:rsidP="0D8D2513">
      <w:pPr>
        <w:pStyle w:val="Heading4"/>
        <w:numPr>
          <w:ilvl w:val="3"/>
          <w:numId w:val="0"/>
        </w:numPr>
        <w:rPr>
          <w:color w:val="auto"/>
        </w:rPr>
      </w:pPr>
      <w:r w:rsidRPr="0D8D2513">
        <w:rPr>
          <w:color w:val="auto"/>
        </w:rPr>
        <w:t>Minimum Level of Nutrients Added to Flour</w:t>
      </w:r>
    </w:p>
    <w:p w14:paraId="1FDB6840" w14:textId="753FB775" w:rsidR="00B927A0" w:rsidRDefault="1030FE50" w:rsidP="3C6AB4A7">
      <w:pPr>
        <w:spacing w:before="240" w:after="240"/>
        <w:rPr>
          <w:rFonts w:ascii="Arial" w:eastAsia="Arial" w:hAnsi="Arial" w:cs="Arial"/>
        </w:rPr>
      </w:pPr>
      <w:r w:rsidRPr="3C6AB4A7">
        <w:rPr>
          <w:rFonts w:ascii="Arial" w:eastAsia="Arial" w:hAnsi="Arial" w:cs="Arial"/>
        </w:rPr>
        <w:t xml:space="preserve">The main objective is to resolve the interpretation issues regarding how the </w:t>
      </w:r>
      <w:r w:rsidR="00AEBC86" w:rsidRPr="3C6AB4A7">
        <w:rPr>
          <w:rFonts w:ascii="Arial" w:eastAsia="Arial" w:hAnsi="Arial" w:cs="Arial"/>
        </w:rPr>
        <w:t xml:space="preserve">Regulations </w:t>
      </w:r>
      <w:r w:rsidRPr="3C6AB4A7">
        <w:rPr>
          <w:rFonts w:ascii="Arial" w:eastAsia="Arial" w:hAnsi="Arial" w:cs="Arial"/>
        </w:rPr>
        <w:t>interact with overlapping regulations (</w:t>
      </w:r>
      <w:r w:rsidR="39C80814" w:rsidRPr="3C6AB4A7">
        <w:rPr>
          <w:rFonts w:ascii="Arial" w:eastAsia="Arial" w:hAnsi="Arial" w:cs="Arial"/>
        </w:rPr>
        <w:t xml:space="preserve">Assimilated </w:t>
      </w:r>
      <w:r w:rsidRPr="3C6AB4A7">
        <w:rPr>
          <w:rFonts w:ascii="Arial" w:eastAsia="Arial" w:hAnsi="Arial" w:cs="Arial"/>
        </w:rPr>
        <w:t xml:space="preserve">Regulation 1925/2006 </w:t>
      </w:r>
      <w:r w:rsidR="48796B6D" w:rsidRPr="002B33C0">
        <w:rPr>
          <w:rFonts w:ascii="Arial" w:eastAsia="Arial" w:hAnsi="Arial" w:cs="Arial"/>
          <w:color w:val="000000" w:themeColor="text1"/>
        </w:rPr>
        <w:t xml:space="preserve">on the addition of vitamins and minerals and of certain other substances to foods </w:t>
      </w:r>
      <w:r w:rsidRPr="3C6AB4A7">
        <w:rPr>
          <w:rFonts w:ascii="Arial" w:eastAsia="Arial" w:hAnsi="Arial" w:cs="Arial"/>
        </w:rPr>
        <w:t>&amp; Regulation 1169/2011</w:t>
      </w:r>
      <w:r w:rsidR="1F95E78D" w:rsidRPr="3C6AB4A7">
        <w:rPr>
          <w:rFonts w:ascii="Arial" w:eastAsia="Arial" w:hAnsi="Arial" w:cs="Arial"/>
        </w:rPr>
        <w:t xml:space="preserve"> on the provision of food information to consumers</w:t>
      </w:r>
      <w:r w:rsidRPr="3C6AB4A7">
        <w:rPr>
          <w:rFonts w:ascii="Arial" w:eastAsia="Arial" w:hAnsi="Arial" w:cs="Arial"/>
        </w:rPr>
        <w:t>) on the flour fortification requirements and thus provide legal clarity for industry and enforcement authorities. This will make it easier for industry to be compliant and remove ambiguity in respect to the application of enforcement measures by enforcement authorities.</w:t>
      </w:r>
    </w:p>
    <w:p w14:paraId="5A4028C1" w14:textId="63ACA721" w:rsidR="00B927A0" w:rsidRDefault="0EBEC5E1" w:rsidP="0D8D2513">
      <w:pPr>
        <w:pStyle w:val="Heading4"/>
        <w:numPr>
          <w:ilvl w:val="3"/>
          <w:numId w:val="0"/>
        </w:numPr>
        <w:rPr>
          <w:color w:val="auto"/>
        </w:rPr>
      </w:pPr>
      <w:r w:rsidRPr="0D8D2513">
        <w:rPr>
          <w:color w:val="auto"/>
        </w:rPr>
        <w:t>Calcium Carbonate Specification</w:t>
      </w:r>
    </w:p>
    <w:p w14:paraId="4CFA0A80" w14:textId="5567CF63" w:rsidR="00B927A0" w:rsidRDefault="1030FE50" w:rsidP="3C6AB4A7">
      <w:pPr>
        <w:spacing w:before="240" w:after="240"/>
        <w:rPr>
          <w:rFonts w:ascii="Arial" w:eastAsia="Arial" w:hAnsi="Arial" w:cs="Arial"/>
        </w:rPr>
      </w:pPr>
      <w:r w:rsidRPr="3C6AB4A7">
        <w:rPr>
          <w:rFonts w:ascii="Arial" w:eastAsia="Arial" w:hAnsi="Arial" w:cs="Arial"/>
        </w:rPr>
        <w:t xml:space="preserve">The main objective is to resolve the interpretation issues regarding how the </w:t>
      </w:r>
      <w:r w:rsidR="406E7BA6" w:rsidRPr="3C6AB4A7">
        <w:rPr>
          <w:rFonts w:ascii="Arial" w:eastAsia="Arial" w:hAnsi="Arial" w:cs="Arial"/>
        </w:rPr>
        <w:t>Regulations</w:t>
      </w:r>
      <w:r w:rsidRPr="3C6AB4A7">
        <w:rPr>
          <w:rFonts w:ascii="Arial" w:eastAsia="Arial" w:hAnsi="Arial" w:cs="Arial"/>
        </w:rPr>
        <w:t xml:space="preserve"> interact with overlapping regulations (</w:t>
      </w:r>
      <w:r w:rsidR="563242B0" w:rsidRPr="3C6AB4A7">
        <w:rPr>
          <w:rFonts w:ascii="Arial" w:eastAsia="Arial" w:hAnsi="Arial" w:cs="Arial"/>
        </w:rPr>
        <w:t xml:space="preserve">Assimilated </w:t>
      </w:r>
      <w:r w:rsidRPr="3C6AB4A7">
        <w:rPr>
          <w:rFonts w:ascii="Arial" w:eastAsia="Arial" w:hAnsi="Arial" w:cs="Arial"/>
        </w:rPr>
        <w:t>Regulation 231/2012</w:t>
      </w:r>
      <w:r w:rsidR="0630C9BB" w:rsidRPr="3C6AB4A7">
        <w:rPr>
          <w:rFonts w:ascii="Arial" w:eastAsia="Arial" w:hAnsi="Arial" w:cs="Arial"/>
          <w:b/>
          <w:bCs/>
          <w:color w:val="000000" w:themeColor="text1"/>
        </w:rPr>
        <w:t xml:space="preserve"> </w:t>
      </w:r>
      <w:r w:rsidR="0630C9BB" w:rsidRPr="3C6AB4A7">
        <w:rPr>
          <w:rFonts w:ascii="Arial" w:eastAsia="Arial" w:hAnsi="Arial" w:cs="Arial"/>
          <w:color w:val="000000" w:themeColor="text1"/>
        </w:rPr>
        <w:t xml:space="preserve">laying down specifications for food additives listed in Annexes II and III to </w:t>
      </w:r>
      <w:r w:rsidR="3B646988" w:rsidRPr="3C6AB4A7">
        <w:rPr>
          <w:rFonts w:ascii="Arial" w:eastAsia="Arial" w:hAnsi="Arial" w:cs="Arial"/>
          <w:color w:val="000000" w:themeColor="text1"/>
        </w:rPr>
        <w:t xml:space="preserve">Assimilated </w:t>
      </w:r>
      <w:r w:rsidR="0630C9BB" w:rsidRPr="3C6AB4A7">
        <w:rPr>
          <w:rFonts w:ascii="Arial" w:eastAsia="Arial" w:hAnsi="Arial" w:cs="Arial"/>
          <w:color w:val="000000" w:themeColor="text1"/>
        </w:rPr>
        <w:t>Regulation 1333/2008</w:t>
      </w:r>
      <w:r w:rsidR="04323652" w:rsidRPr="3C6AB4A7">
        <w:rPr>
          <w:rFonts w:ascii="Arial" w:eastAsia="Arial" w:hAnsi="Arial" w:cs="Arial"/>
          <w:color w:val="000000" w:themeColor="text1"/>
        </w:rPr>
        <w:t xml:space="preserve"> on food additives</w:t>
      </w:r>
      <w:r w:rsidR="2AA2E9B3" w:rsidRPr="3C6AB4A7">
        <w:rPr>
          <w:rFonts w:ascii="Arial" w:eastAsia="Arial" w:hAnsi="Arial" w:cs="Arial"/>
        </w:rPr>
        <w:t>) on the specifications of calcium carbonate used in fortification and thus provide legal clarity for industry and enforcement authorities. This will make it easier for industry to be compliant and enforcement authorities to be consistent.</w:t>
      </w:r>
    </w:p>
    <w:p w14:paraId="73226EEC" w14:textId="62191C76" w:rsidR="00B927A0" w:rsidRDefault="2E64D6BE" w:rsidP="0D8D2513">
      <w:pPr>
        <w:pStyle w:val="Heading4"/>
        <w:numPr>
          <w:ilvl w:val="3"/>
          <w:numId w:val="0"/>
        </w:numPr>
        <w:rPr>
          <w:color w:val="auto"/>
        </w:rPr>
      </w:pPr>
      <w:r w:rsidRPr="5314016D">
        <w:rPr>
          <w:color w:val="auto"/>
        </w:rPr>
        <w:t>Scope of the Regulations</w:t>
      </w:r>
    </w:p>
    <w:p w14:paraId="1EAACB6A" w14:textId="4A7913C0" w:rsidR="00B927A0" w:rsidRDefault="4EB14BD3" w:rsidP="0D8D2513">
      <w:pPr>
        <w:spacing w:before="240" w:after="240"/>
        <w:rPr>
          <w:rFonts w:ascii="Times New Roman" w:eastAsia="Times New Roman" w:hAnsi="Times New Roman" w:cs="Times New Roman"/>
        </w:rPr>
      </w:pPr>
      <w:r w:rsidRPr="0D8D2513">
        <w:rPr>
          <w:rFonts w:ascii="Arial" w:eastAsia="Arial" w:hAnsi="Arial" w:cs="Arial"/>
        </w:rPr>
        <w:t xml:space="preserve">The main objective is to ensure that the understanding of the </w:t>
      </w:r>
      <w:r w:rsidR="2E4010AA" w:rsidRPr="0D8D2513">
        <w:rPr>
          <w:rFonts w:ascii="Arial" w:eastAsia="Arial" w:hAnsi="Arial" w:cs="Arial"/>
        </w:rPr>
        <w:t>R</w:t>
      </w:r>
      <w:r w:rsidRPr="0D8D2513">
        <w:rPr>
          <w:rFonts w:ascii="Arial" w:eastAsia="Arial" w:hAnsi="Arial" w:cs="Arial"/>
        </w:rPr>
        <w:t>egulations (what type of wheat falls within the scope of the fortification requirements</w:t>
      </w:r>
      <w:r w:rsidR="19229C77" w:rsidRPr="0D8D2513">
        <w:rPr>
          <w:rFonts w:ascii="Arial" w:eastAsia="Arial" w:hAnsi="Arial" w:cs="Arial"/>
        </w:rPr>
        <w:t xml:space="preserve"> and provide a legal definition that wholemeal flour must consist of the whole product from the milling and grinding of cleaned cereal</w:t>
      </w:r>
      <w:r w:rsidRPr="0D8D2513">
        <w:rPr>
          <w:rFonts w:ascii="Arial" w:eastAsia="Arial" w:hAnsi="Arial" w:cs="Arial"/>
        </w:rPr>
        <w:t xml:space="preserve">) is consistent throughout industry and enforcement. Thus, ensuring that the interpretation of the rules </w:t>
      </w:r>
      <w:r w:rsidR="56C300B8" w:rsidRPr="0D8D2513">
        <w:rPr>
          <w:rFonts w:ascii="Arial" w:eastAsia="Arial" w:hAnsi="Arial" w:cs="Arial"/>
        </w:rPr>
        <w:t>is</w:t>
      </w:r>
      <w:r w:rsidRPr="0D8D2513">
        <w:rPr>
          <w:rFonts w:ascii="Arial" w:eastAsia="Arial" w:hAnsi="Arial" w:cs="Arial"/>
        </w:rPr>
        <w:t xml:space="preserve"> clear for industry and enforcement authorities.</w:t>
      </w:r>
    </w:p>
    <w:p w14:paraId="0492895F" w14:textId="7C8A7D95" w:rsidR="00B927A0" w:rsidRDefault="0EBEC5E1" w:rsidP="0D8D2513">
      <w:pPr>
        <w:pStyle w:val="Heading4"/>
        <w:numPr>
          <w:ilvl w:val="3"/>
          <w:numId w:val="0"/>
        </w:numPr>
        <w:rPr>
          <w:color w:val="auto"/>
        </w:rPr>
      </w:pPr>
      <w:r w:rsidRPr="0D8D2513">
        <w:rPr>
          <w:color w:val="auto"/>
        </w:rPr>
        <w:t>Exemption - Treatment of small-scale mills within existing Bread and Flour Regulations</w:t>
      </w:r>
    </w:p>
    <w:p w14:paraId="2351235F" w14:textId="46951B76" w:rsidR="00B927A0" w:rsidRDefault="327B141D" w:rsidP="595AB009">
      <w:pPr>
        <w:spacing w:before="240" w:after="240"/>
        <w:rPr>
          <w:rFonts w:ascii="Arial" w:eastAsia="Arial" w:hAnsi="Arial" w:cs="Arial"/>
        </w:rPr>
      </w:pPr>
      <w:r w:rsidRPr="595AB009">
        <w:rPr>
          <w:rFonts w:ascii="Arial" w:eastAsia="Arial" w:hAnsi="Arial" w:cs="Arial"/>
        </w:rPr>
        <w:t xml:space="preserve">The main objective is to mitigate the burden of the Regulations on small scale millers. In addition, it is to ensure their future viability by addressing the significant challenges that exist with fortification due to the practical and technological limitations of </w:t>
      </w:r>
      <w:r w:rsidR="681522D2" w:rsidRPr="595AB009">
        <w:rPr>
          <w:rFonts w:ascii="Arial" w:eastAsia="Arial" w:hAnsi="Arial" w:cs="Arial"/>
        </w:rPr>
        <w:t>small-scale</w:t>
      </w:r>
      <w:r w:rsidRPr="595AB009">
        <w:rPr>
          <w:rFonts w:ascii="Arial" w:eastAsia="Arial" w:hAnsi="Arial" w:cs="Arial"/>
        </w:rPr>
        <w:t xml:space="preserve"> operations. Furthermore, it is to achieve this without compromising the policy goals of wider health objectives</w:t>
      </w:r>
      <w:r w:rsidR="2276FE0C" w:rsidRPr="595AB009">
        <w:rPr>
          <w:rFonts w:ascii="Arial" w:eastAsia="Arial" w:hAnsi="Arial" w:cs="Arial"/>
        </w:rPr>
        <w:t>.</w:t>
      </w:r>
    </w:p>
    <w:p w14:paraId="7AC6B765" w14:textId="77777777" w:rsidR="0091424D" w:rsidRDefault="68898AE8" w:rsidP="00DA0433">
      <w:pPr>
        <w:pStyle w:val="Heading2"/>
      </w:pPr>
      <w:bookmarkStart w:id="10" w:name="_Toc141427906"/>
      <w:bookmarkStart w:id="11" w:name="_Toc141427989"/>
      <w:r w:rsidRPr="3C6AB4A7">
        <w:t xml:space="preserve">Rationale for Government </w:t>
      </w:r>
      <w:r w:rsidR="07072614" w:rsidRPr="3C6AB4A7">
        <w:t>i</w:t>
      </w:r>
      <w:r w:rsidRPr="3C6AB4A7">
        <w:t>ntervention</w:t>
      </w:r>
      <w:bookmarkEnd w:id="10"/>
      <w:bookmarkEnd w:id="11"/>
    </w:p>
    <w:p w14:paraId="03EDFF7B" w14:textId="6039772D" w:rsidR="017C06D8" w:rsidRPr="008A22A9" w:rsidRDefault="008A22A9" w:rsidP="0D8D2513">
      <w:pPr>
        <w:pStyle w:val="Heading3"/>
        <w:numPr>
          <w:ilvl w:val="2"/>
          <w:numId w:val="0"/>
        </w:numPr>
        <w:rPr>
          <w:b w:val="0"/>
          <w:bCs w:val="0"/>
          <w:u w:val="single"/>
        </w:rPr>
      </w:pPr>
      <w:r w:rsidRPr="008A22A9">
        <w:rPr>
          <w:b w:val="0"/>
          <w:bCs w:val="0"/>
          <w:u w:val="single"/>
        </w:rPr>
        <w:t xml:space="preserve">2.3.1 </w:t>
      </w:r>
      <w:r w:rsidR="43620806" w:rsidRPr="008A22A9">
        <w:rPr>
          <w:b w:val="0"/>
          <w:bCs w:val="0"/>
          <w:u w:val="single"/>
        </w:rPr>
        <w:t>Folic acid</w:t>
      </w:r>
    </w:p>
    <w:p w14:paraId="4E18B6FB" w14:textId="456F29F2" w:rsidR="468D67F8" w:rsidRDefault="468D67F8" w:rsidP="00DF6E01">
      <w:r>
        <w:t>Folate levels in women of all age groups have been in decline, despite public health advice in both Scotland and the UK</w:t>
      </w:r>
      <w:r w:rsidR="485EB6F6">
        <w:t>,</w:t>
      </w:r>
      <w:r>
        <w:t xml:space="preserve"> as a whole. This trend is likely to increase the risk of </w:t>
      </w:r>
      <w:r w:rsidR="6AEB5626">
        <w:t>N</w:t>
      </w:r>
      <w:r w:rsidR="0B98E38E">
        <w:t xml:space="preserve">eural </w:t>
      </w:r>
      <w:r w:rsidR="177C5F7D">
        <w:t>T</w:t>
      </w:r>
      <w:r w:rsidR="0B98E38E">
        <w:t xml:space="preserve">ube </w:t>
      </w:r>
      <w:r w:rsidR="79FC43FB">
        <w:t>D</w:t>
      </w:r>
      <w:r w:rsidR="0B98E38E">
        <w:t xml:space="preserve">efects </w:t>
      </w:r>
      <w:r w:rsidR="60422826">
        <w:t>(</w:t>
      </w:r>
      <w:r>
        <w:t>NTD</w:t>
      </w:r>
      <w:r w:rsidR="5A124FC0">
        <w:t>)</w:t>
      </w:r>
      <w:r w:rsidR="6581303F">
        <w:t xml:space="preserve"> </w:t>
      </w:r>
      <w:r>
        <w:t>affected pregnancies in pregnant women or women who could become pregnant if it continues unabated.</w:t>
      </w:r>
      <w:r w:rsidR="00D8624C">
        <w:t xml:space="preserve"> </w:t>
      </w:r>
    </w:p>
    <w:p w14:paraId="108B0E17" w14:textId="1AC61B7F" w:rsidR="468D67F8" w:rsidRDefault="468D67F8" w:rsidP="00DF6E01">
      <w:r w:rsidRPr="017C06D8">
        <w:t xml:space="preserve"> </w:t>
      </w:r>
    </w:p>
    <w:p w14:paraId="66033AB1" w14:textId="6351DA50" w:rsidR="468D67F8" w:rsidRDefault="468D67F8" w:rsidP="00DF6E01">
      <w:r w:rsidRPr="017C06D8">
        <w:t xml:space="preserve">Voluntary fortification is already permitted. This is in support of the government advice that women who could become (or are planning to become) pregnant should take a daily supplement of 400 micrograms of folic acid before conception, and until the 12th week of pregnancy. Supplements are therefore available, but current data suggests these approaches are unlikely to increase folate intakes in the Scottish population sufficiently. </w:t>
      </w:r>
    </w:p>
    <w:p w14:paraId="3752B3A1" w14:textId="0ED575D3" w:rsidR="468D67F8" w:rsidRDefault="468D67F8" w:rsidP="00DF6E01">
      <w:r w:rsidRPr="017C06D8">
        <w:t xml:space="preserve"> </w:t>
      </w:r>
    </w:p>
    <w:p w14:paraId="02A4DD2C" w14:textId="4BE5B9D6" w:rsidR="468D67F8" w:rsidRDefault="7894DFD9" w:rsidP="00DF6E01">
      <w:r>
        <w:t>There is</w:t>
      </w:r>
      <w:r w:rsidR="23748B1E">
        <w:t>,</w:t>
      </w:r>
      <w:r>
        <w:t xml:space="preserve"> therefore</w:t>
      </w:r>
      <w:r w:rsidR="3754454C">
        <w:t>,</w:t>
      </w:r>
      <w:r>
        <w:t xml:space="preserve"> a rationale for </w:t>
      </w:r>
      <w:r w:rsidR="58909B66">
        <w:t xml:space="preserve">Government intervention from a public health perspective to further increase folate intake levels and decrease the risk of NTD-affected pregnancies and </w:t>
      </w:r>
      <w:r w:rsidR="4BCD2AB7">
        <w:t xml:space="preserve">Scottish Ministers have long advocated for the mandatory fortification of flour with folic acid to </w:t>
      </w:r>
      <w:r w:rsidR="03FD7746">
        <w:t xml:space="preserve">help </w:t>
      </w:r>
      <w:r w:rsidR="4BCD2AB7">
        <w:t>reduce th</w:t>
      </w:r>
      <w:r w:rsidR="0119DC92">
        <w:t>is</w:t>
      </w:r>
      <w:r w:rsidR="4BCD2AB7">
        <w:t xml:space="preserve"> risk in Scotland. </w:t>
      </w:r>
    </w:p>
    <w:p w14:paraId="17287CB5" w14:textId="705D6A8E" w:rsidR="017C06D8" w:rsidRDefault="017C06D8" w:rsidP="00DF6E01"/>
    <w:p w14:paraId="3F3E8073" w14:textId="24CB26D0" w:rsidR="737CBFA7" w:rsidRDefault="737CBFA7" w:rsidP="00DF6E01">
      <w:r>
        <w:t>In September 2021 following a UK wide public consultation, the Scottish Government along with the UK Government and the devolved administrations in Wales and Northern Ireland announced their intention to proceed with arrangements to require additional mandatory fortification of non-wholemeal wheat flour with folic acid on a UK basis to help prevent foetal neural tube defects.</w:t>
      </w:r>
    </w:p>
    <w:p w14:paraId="72BB6A42" w14:textId="3C7EE4E8" w:rsidR="737CBFA7" w:rsidRDefault="737CBFA7" w:rsidP="00DF6E01">
      <w:r w:rsidRPr="017C06D8">
        <w:t xml:space="preserve"> </w:t>
      </w:r>
    </w:p>
    <w:p w14:paraId="774CF7E9" w14:textId="1BDE0620" w:rsidR="737CBFA7" w:rsidRDefault="60360279" w:rsidP="00DF6E01">
      <w:r>
        <w:t xml:space="preserve">In December 2021, the then </w:t>
      </w:r>
      <w:r w:rsidR="37BA052D">
        <w:t xml:space="preserve">Scottish </w:t>
      </w:r>
      <w:r>
        <w:t>Minister for Public Health and Women’s Health agreed the recommendation to proceed with mandating the fortification of non-wholemeal flour, at a level of 250 micrograms</w:t>
      </w:r>
      <w:r w:rsidR="4F5384D3">
        <w:t xml:space="preserve"> </w:t>
      </w:r>
      <w:r>
        <w:t>(µg)</w:t>
      </w:r>
      <w:r w:rsidR="110C70CF">
        <w:t xml:space="preserve"> </w:t>
      </w:r>
      <w:r>
        <w:t xml:space="preserve">folic acid per 100g of flour, a position supported by the 4 UK Chief Medical Officers and the Scientific Advisory Committee on Nutrition (SACN). </w:t>
      </w:r>
    </w:p>
    <w:p w14:paraId="2E2FD48B" w14:textId="3B97C8BE" w:rsidR="0D8D2513" w:rsidRDefault="0D8D2513" w:rsidP="0D8D2513"/>
    <w:p w14:paraId="23F38D6D" w14:textId="791D71E9" w:rsidR="017C06D8" w:rsidRDefault="2A9C59F0" w:rsidP="3C6AB4A7">
      <w:r>
        <w:t xml:space="preserve">Implementation has been taken forward as part of the wider review of the Regulations to ensure that the </w:t>
      </w:r>
      <w:r w:rsidR="4AFF9220">
        <w:t xml:space="preserve">legislation </w:t>
      </w:r>
      <w:r>
        <w:t>lead</w:t>
      </w:r>
      <w:r w:rsidR="40795453">
        <w:t>s</w:t>
      </w:r>
      <w:r>
        <w:t xml:space="preserve"> to improved public health outcomes, support</w:t>
      </w:r>
      <w:r w:rsidR="3D147BED">
        <w:t>s</w:t>
      </w:r>
      <w:r>
        <w:t xml:space="preserve"> UK industry, assist</w:t>
      </w:r>
      <w:r w:rsidR="65D9D478">
        <w:t>s</w:t>
      </w:r>
      <w:r>
        <w:t xml:space="preserve"> enforcement authorities and protect</w:t>
      </w:r>
      <w:r w:rsidR="00490658">
        <w:t>s</w:t>
      </w:r>
      <w:r>
        <w:t xml:space="preserve"> consumer interests. Given the existing inclusion of four fortificants in non-wholemeal wheat flour (Niacin, thiamine, iron and calcium), the addition of folic acid into the same kind of flour is the most convenient and cost-effective way for industry to enact the changes to regulations.</w:t>
      </w:r>
    </w:p>
    <w:p w14:paraId="19A3E5F1" w14:textId="0A1D00D1" w:rsidR="00B927A0" w:rsidRPr="008A22A9" w:rsidRDefault="008A22A9" w:rsidP="0D8D2513">
      <w:pPr>
        <w:pStyle w:val="Heading3"/>
        <w:numPr>
          <w:ilvl w:val="2"/>
          <w:numId w:val="0"/>
        </w:numPr>
        <w:rPr>
          <w:b w:val="0"/>
          <w:bCs w:val="0"/>
          <w:u w:val="single"/>
        </w:rPr>
      </w:pPr>
      <w:r w:rsidRPr="008A22A9">
        <w:rPr>
          <w:b w:val="0"/>
          <w:bCs w:val="0"/>
          <w:u w:val="single"/>
        </w:rPr>
        <w:t xml:space="preserve">2.3.2 </w:t>
      </w:r>
      <w:r w:rsidR="43620806" w:rsidRPr="008A22A9">
        <w:rPr>
          <w:b w:val="0"/>
          <w:bCs w:val="0"/>
          <w:u w:val="single"/>
        </w:rPr>
        <w:t>Other amendments</w:t>
      </w:r>
    </w:p>
    <w:p w14:paraId="22F5D1CC" w14:textId="3E621ABE" w:rsidR="0004182A" w:rsidRDefault="6197827B" w:rsidP="00DF6E01">
      <w:pPr>
        <w:shd w:val="clear" w:color="auto" w:fill="FFFFFF" w:themeFill="background1"/>
        <w:spacing w:line="276" w:lineRule="auto"/>
        <w:rPr>
          <w:rFonts w:ascii="Arial" w:eastAsia="Arial" w:hAnsi="Arial" w:cs="Arial"/>
          <w:color w:val="000000" w:themeColor="text1"/>
        </w:rPr>
      </w:pPr>
      <w:r w:rsidRPr="7B5CF8CD">
        <w:rPr>
          <w:rFonts w:ascii="Arial" w:eastAsia="Arial" w:hAnsi="Arial" w:cs="Arial"/>
          <w:color w:val="000000" w:themeColor="text1"/>
        </w:rPr>
        <w:t xml:space="preserve">There are inconsistencies currently between the Regulations and other overlapping food regulations. Government intervention is needed to address this ambiguity over how legislation is applied. This may also remove or reduce certain barriers to entry and level the playing field among millers. </w:t>
      </w:r>
    </w:p>
    <w:p w14:paraId="1D748535" w14:textId="77777777" w:rsidR="00DF6E01" w:rsidRDefault="00DF6E01" w:rsidP="00DF6E01">
      <w:pPr>
        <w:shd w:val="clear" w:color="auto" w:fill="FFFFFF" w:themeFill="background1"/>
        <w:spacing w:line="276" w:lineRule="auto"/>
        <w:rPr>
          <w:rFonts w:ascii="Arial" w:eastAsia="Arial" w:hAnsi="Arial" w:cs="Arial"/>
          <w:color w:val="000000" w:themeColor="text1"/>
        </w:rPr>
      </w:pPr>
    </w:p>
    <w:p w14:paraId="6E470E86" w14:textId="1A2703AB" w:rsidR="0004182A" w:rsidRDefault="6197827B" w:rsidP="00DF6E01">
      <w:pPr>
        <w:shd w:val="clear" w:color="auto" w:fill="FFFFFF" w:themeFill="background1"/>
        <w:spacing w:line="276" w:lineRule="auto"/>
        <w:rPr>
          <w:rFonts w:ascii="Arial" w:eastAsia="Arial" w:hAnsi="Arial" w:cs="Arial"/>
          <w:color w:val="000000" w:themeColor="text1"/>
        </w:rPr>
      </w:pPr>
      <w:r w:rsidRPr="017C06D8">
        <w:rPr>
          <w:rFonts w:ascii="Arial" w:eastAsia="Arial" w:hAnsi="Arial" w:cs="Arial"/>
          <w:color w:val="000000" w:themeColor="text1"/>
        </w:rPr>
        <w:t xml:space="preserve">Similarly, addressing the scope of the regulations (i.e. defining ‘wheat flour’) will clarify any potential differing interpretations over the scope of the fortification requirements for wheat flour. This allows for a common understanding across the flour supply chain and local enforcement </w:t>
      </w:r>
      <w:r w:rsidR="7345DF9F" w:rsidRPr="017C06D8">
        <w:rPr>
          <w:rFonts w:ascii="Arial" w:eastAsia="Arial" w:hAnsi="Arial" w:cs="Arial"/>
          <w:color w:val="000000" w:themeColor="text1"/>
        </w:rPr>
        <w:t xml:space="preserve">authorities </w:t>
      </w:r>
      <w:r w:rsidRPr="017C06D8">
        <w:rPr>
          <w:rFonts w:ascii="Arial" w:eastAsia="Arial" w:hAnsi="Arial" w:cs="Arial"/>
          <w:color w:val="000000" w:themeColor="text1"/>
        </w:rPr>
        <w:t>as to what types of flour are subject to these fortification requirements.</w:t>
      </w:r>
    </w:p>
    <w:p w14:paraId="54B0E3D1" w14:textId="1F2FEACD" w:rsidR="0004182A" w:rsidRDefault="0004182A" w:rsidP="017C06D8">
      <w:pPr>
        <w:shd w:val="clear" w:color="auto" w:fill="FFFFFF" w:themeFill="background1"/>
        <w:spacing w:line="276" w:lineRule="auto"/>
        <w:ind w:left="720"/>
        <w:rPr>
          <w:rFonts w:ascii="Arial" w:eastAsia="Arial" w:hAnsi="Arial" w:cs="Arial"/>
        </w:rPr>
      </w:pPr>
    </w:p>
    <w:p w14:paraId="21EE6B33" w14:textId="77777777" w:rsidR="0091424D" w:rsidRDefault="00D51F63" w:rsidP="00DD3CD6">
      <w:pPr>
        <w:pStyle w:val="Heading1"/>
      </w:pPr>
      <w:bookmarkStart w:id="12" w:name="_Toc141427907"/>
      <w:bookmarkStart w:id="13" w:name="_Toc141427990"/>
      <w:bookmarkStart w:id="14" w:name="_Toc142556665"/>
      <w:bookmarkStart w:id="15" w:name="_Toc164407107"/>
      <w:bookmarkStart w:id="16" w:name="_Toc165382839"/>
      <w:r>
        <w:t>Consultation</w:t>
      </w:r>
      <w:bookmarkEnd w:id="12"/>
      <w:bookmarkEnd w:id="13"/>
      <w:bookmarkEnd w:id="14"/>
      <w:bookmarkEnd w:id="15"/>
      <w:bookmarkEnd w:id="16"/>
    </w:p>
    <w:p w14:paraId="52934FA7" w14:textId="77777777" w:rsidR="0091424D" w:rsidRPr="0091424D" w:rsidRDefault="48AE6BC7" w:rsidP="00DA0433">
      <w:pPr>
        <w:pStyle w:val="Heading2"/>
      </w:pPr>
      <w:bookmarkStart w:id="17" w:name="_Toc141427908"/>
      <w:bookmarkStart w:id="18" w:name="_Toc141427991"/>
      <w:r w:rsidRPr="595AB009">
        <w:t>Within Government</w:t>
      </w:r>
      <w:bookmarkEnd w:id="17"/>
      <w:bookmarkEnd w:id="18"/>
    </w:p>
    <w:p w14:paraId="42E7F315" w14:textId="3E20E43C" w:rsidR="017C06D8" w:rsidRDefault="5335ED00" w:rsidP="595AB009">
      <w:pPr>
        <w:shd w:val="clear" w:color="auto" w:fill="FFFFFF" w:themeFill="background1"/>
        <w:spacing w:after="240"/>
        <w:rPr>
          <w:rFonts w:ascii="Arial" w:eastAsia="Arial" w:hAnsi="Arial" w:cs="Arial"/>
        </w:rPr>
      </w:pPr>
      <w:r w:rsidRPr="595AB009">
        <w:rPr>
          <w:rFonts w:ascii="Arial" w:eastAsia="Arial" w:hAnsi="Arial" w:cs="Arial"/>
          <w:color w:val="333333"/>
        </w:rPr>
        <w:t>FSS has policy responsibility for the Regulations and has discussed this consultation package with Scottish Government officials from the Food and Drink Policy team and Populat</w:t>
      </w:r>
      <w:r w:rsidRPr="595AB009">
        <w:rPr>
          <w:rFonts w:ascii="Arial" w:eastAsia="Arial" w:hAnsi="Arial" w:cs="Arial"/>
        </w:rPr>
        <w:t>ion Health Directorate.</w:t>
      </w:r>
    </w:p>
    <w:p w14:paraId="22438FB0" w14:textId="77777777" w:rsidR="0091424D" w:rsidRPr="0091424D" w:rsidRDefault="48AE6BC7" w:rsidP="00DA0433">
      <w:pPr>
        <w:pStyle w:val="Heading2"/>
      </w:pPr>
      <w:bookmarkStart w:id="19" w:name="_Toc141427909"/>
      <w:bookmarkStart w:id="20" w:name="_Toc141427992"/>
      <w:r w:rsidRPr="595AB009">
        <w:t>Public Consultation</w:t>
      </w:r>
      <w:bookmarkEnd w:id="19"/>
      <w:bookmarkEnd w:id="20"/>
    </w:p>
    <w:p w14:paraId="63A6B8EF" w14:textId="0CF698F1" w:rsidR="1FBF65E9" w:rsidRDefault="701DB8A8" w:rsidP="00BD4A48">
      <w:pPr>
        <w:shd w:val="clear" w:color="auto" w:fill="FFFFFF" w:themeFill="background1"/>
        <w:rPr>
          <w:rFonts w:ascii="Arial" w:eastAsia="Arial" w:hAnsi="Arial" w:cs="Arial"/>
          <w:color w:val="333333"/>
        </w:rPr>
      </w:pPr>
      <w:r w:rsidRPr="0D8D2513">
        <w:rPr>
          <w:rFonts w:ascii="Arial" w:eastAsia="Arial" w:hAnsi="Arial" w:cs="Arial"/>
          <w:color w:val="333333"/>
        </w:rPr>
        <w:t xml:space="preserve">In </w:t>
      </w:r>
      <w:r w:rsidR="00A001C4">
        <w:rPr>
          <w:rFonts w:ascii="Arial" w:eastAsia="Arial" w:hAnsi="Arial" w:cs="Arial"/>
          <w:color w:val="333333"/>
        </w:rPr>
        <w:t>September</w:t>
      </w:r>
      <w:r w:rsidRPr="0D8D2513">
        <w:rPr>
          <w:rFonts w:ascii="Arial" w:eastAsia="Arial" w:hAnsi="Arial" w:cs="Arial"/>
          <w:color w:val="333333"/>
        </w:rPr>
        <w:t xml:space="preserve"> 2022, </w:t>
      </w:r>
      <w:r w:rsidR="6409CDE6" w:rsidRPr="0D8D2513">
        <w:rPr>
          <w:rFonts w:ascii="Arial" w:eastAsia="Arial" w:hAnsi="Arial" w:cs="Arial"/>
          <w:color w:val="333333"/>
        </w:rPr>
        <w:t>FSS</w:t>
      </w:r>
      <w:r w:rsidRPr="0D8D2513">
        <w:rPr>
          <w:rFonts w:ascii="Arial" w:eastAsia="Arial" w:hAnsi="Arial" w:cs="Arial"/>
          <w:color w:val="333333"/>
        </w:rPr>
        <w:t xml:space="preserve"> along with the Department for Environment Food &amp; Rural Affairs (Defra), and the Food Standards Agency </w:t>
      </w:r>
      <w:r w:rsidR="6409CDE6" w:rsidRPr="0D8D2513">
        <w:rPr>
          <w:rFonts w:ascii="Arial" w:eastAsia="Arial" w:hAnsi="Arial" w:cs="Arial"/>
          <w:color w:val="333333"/>
        </w:rPr>
        <w:t xml:space="preserve">(FSA) </w:t>
      </w:r>
      <w:r w:rsidRPr="0D8D2513">
        <w:rPr>
          <w:rFonts w:ascii="Arial" w:eastAsia="Arial" w:hAnsi="Arial" w:cs="Arial"/>
          <w:color w:val="333333"/>
        </w:rPr>
        <w:t xml:space="preserve">in Wales and Northern Ireland held a joint </w:t>
      </w:r>
      <w:r w:rsidR="187EBADE" w:rsidRPr="0D8D2513">
        <w:rPr>
          <w:rFonts w:ascii="Arial" w:eastAsia="Arial" w:hAnsi="Arial" w:cs="Arial"/>
          <w:color w:val="333333"/>
        </w:rPr>
        <w:t xml:space="preserve">UK wide </w:t>
      </w:r>
      <w:r w:rsidRPr="0D8D2513">
        <w:rPr>
          <w:rFonts w:ascii="Arial" w:eastAsia="Arial" w:hAnsi="Arial" w:cs="Arial"/>
          <w:color w:val="333333"/>
        </w:rPr>
        <w:t>consultation on options to amend the Regulations. The policy options in that consultation were as follows:</w:t>
      </w:r>
    </w:p>
    <w:p w14:paraId="197FF4C0" w14:textId="77777777" w:rsidR="00BD4A48" w:rsidRDefault="00BD4A48" w:rsidP="00BD4A48">
      <w:pPr>
        <w:shd w:val="clear" w:color="auto" w:fill="FFFFFF" w:themeFill="background1"/>
      </w:pPr>
    </w:p>
    <w:p w14:paraId="363577F0" w14:textId="4D0F400E" w:rsidR="00BD4A48" w:rsidRDefault="1FBF65E9" w:rsidP="00CC205C">
      <w:pPr>
        <w:pStyle w:val="ListParagraph"/>
        <w:numPr>
          <w:ilvl w:val="0"/>
          <w:numId w:val="23"/>
        </w:numPr>
      </w:pPr>
      <w:r w:rsidRPr="017C06D8">
        <w:t xml:space="preserve">Option 1 - Raise the set minimum level of nutrients present in </w:t>
      </w:r>
      <w:r w:rsidR="00C0566A" w:rsidRPr="017C06D8">
        <w:t>flour.</w:t>
      </w:r>
    </w:p>
    <w:p w14:paraId="7C7610A4" w14:textId="737F684E" w:rsidR="00BD4A48" w:rsidRPr="00BD4A48" w:rsidRDefault="1FBF65E9" w:rsidP="00CC205C">
      <w:pPr>
        <w:pStyle w:val="ListParagraph"/>
        <w:numPr>
          <w:ilvl w:val="0"/>
          <w:numId w:val="23"/>
        </w:numPr>
      </w:pPr>
      <w:r w:rsidRPr="00BD4A48">
        <w:rPr>
          <w:rFonts w:ascii="Arial" w:eastAsia="Arial" w:hAnsi="Arial" w:cs="Arial"/>
          <w:color w:val="333333"/>
        </w:rPr>
        <w:t xml:space="preserve">Option 2 - Remove </w:t>
      </w:r>
      <w:r w:rsidR="00B708DC" w:rsidRPr="00BD4A48">
        <w:rPr>
          <w:rFonts w:ascii="Arial" w:eastAsia="Arial" w:hAnsi="Arial" w:cs="Arial"/>
          <w:color w:val="333333"/>
        </w:rPr>
        <w:t>calcium</w:t>
      </w:r>
      <w:r w:rsidRPr="00BD4A48">
        <w:rPr>
          <w:rFonts w:ascii="Arial" w:eastAsia="Arial" w:hAnsi="Arial" w:cs="Arial"/>
          <w:color w:val="333333"/>
        </w:rPr>
        <w:t xml:space="preserve"> carbonate criteria from the </w:t>
      </w:r>
      <w:r w:rsidR="00C0566A" w:rsidRPr="00BD4A48">
        <w:rPr>
          <w:rFonts w:ascii="Arial" w:eastAsia="Arial" w:hAnsi="Arial" w:cs="Arial"/>
          <w:color w:val="333333"/>
        </w:rPr>
        <w:t>regulations.</w:t>
      </w:r>
    </w:p>
    <w:p w14:paraId="0487141D" w14:textId="5849A5B5" w:rsidR="00BD4A48" w:rsidRPr="00BD4A48" w:rsidRDefault="764F638F" w:rsidP="00CC205C">
      <w:pPr>
        <w:pStyle w:val="ListParagraph"/>
        <w:numPr>
          <w:ilvl w:val="0"/>
          <w:numId w:val="23"/>
        </w:numPr>
        <w:rPr>
          <w:rFonts w:ascii="Arial" w:eastAsia="Arial" w:hAnsi="Arial" w:cs="Arial"/>
          <w:color w:val="333333"/>
        </w:rPr>
      </w:pPr>
      <w:r w:rsidRPr="595AB009">
        <w:rPr>
          <w:rFonts w:ascii="Arial" w:eastAsia="Arial" w:hAnsi="Arial" w:cs="Arial"/>
          <w:color w:val="333333"/>
        </w:rPr>
        <w:t xml:space="preserve">Option 3 - Introduce the legal requirement to add 250 micrograms of folic acid per 100g of </w:t>
      </w:r>
      <w:r w:rsidR="6B4E65AE" w:rsidRPr="595AB009">
        <w:rPr>
          <w:rFonts w:ascii="Arial" w:eastAsia="Arial" w:hAnsi="Arial" w:cs="Arial"/>
          <w:color w:val="333333"/>
        </w:rPr>
        <w:t>non-wholemeal</w:t>
      </w:r>
      <w:r w:rsidRPr="595AB009">
        <w:rPr>
          <w:rFonts w:ascii="Arial" w:eastAsia="Arial" w:hAnsi="Arial" w:cs="Arial"/>
          <w:color w:val="333333"/>
        </w:rPr>
        <w:t xml:space="preserve"> wheat </w:t>
      </w:r>
      <w:r w:rsidR="00C0566A" w:rsidRPr="595AB009">
        <w:rPr>
          <w:rFonts w:ascii="Arial" w:eastAsia="Arial" w:hAnsi="Arial" w:cs="Arial"/>
          <w:color w:val="333333"/>
        </w:rPr>
        <w:t>flour.</w:t>
      </w:r>
    </w:p>
    <w:p w14:paraId="71322BDA" w14:textId="7BEEE846" w:rsidR="00BD4A48" w:rsidRPr="00BD4A48" w:rsidRDefault="1FBF65E9" w:rsidP="00CC205C">
      <w:pPr>
        <w:pStyle w:val="ListParagraph"/>
        <w:numPr>
          <w:ilvl w:val="0"/>
          <w:numId w:val="23"/>
        </w:numPr>
      </w:pPr>
      <w:r w:rsidRPr="00BD4A48">
        <w:rPr>
          <w:rFonts w:ascii="Arial" w:eastAsia="Arial" w:hAnsi="Arial" w:cs="Arial"/>
          <w:color w:val="333333"/>
        </w:rPr>
        <w:t xml:space="preserve">Option 4 - Add </w:t>
      </w:r>
      <w:r w:rsidR="00B708DC" w:rsidRPr="00BD4A48">
        <w:rPr>
          <w:rFonts w:ascii="Arial" w:eastAsia="Arial" w:hAnsi="Arial" w:cs="Arial"/>
          <w:color w:val="333333"/>
        </w:rPr>
        <w:t>clarification</w:t>
      </w:r>
      <w:r w:rsidRPr="00BD4A48">
        <w:rPr>
          <w:rFonts w:ascii="Arial" w:eastAsia="Arial" w:hAnsi="Arial" w:cs="Arial"/>
          <w:color w:val="333333"/>
        </w:rPr>
        <w:t xml:space="preserve"> on the scope of the regulations limiting fortification of flour derived from common </w:t>
      </w:r>
      <w:r w:rsidR="00C0566A" w:rsidRPr="00BD4A48">
        <w:rPr>
          <w:rFonts w:ascii="Arial" w:eastAsia="Arial" w:hAnsi="Arial" w:cs="Arial"/>
          <w:color w:val="333333"/>
        </w:rPr>
        <w:t>wheat.</w:t>
      </w:r>
    </w:p>
    <w:p w14:paraId="34974ABC" w14:textId="437AB855" w:rsidR="00BD4A48" w:rsidRPr="00BD4A48" w:rsidRDefault="764F638F" w:rsidP="00CC205C">
      <w:pPr>
        <w:pStyle w:val="ListParagraph"/>
        <w:numPr>
          <w:ilvl w:val="0"/>
          <w:numId w:val="23"/>
        </w:numPr>
        <w:rPr>
          <w:rFonts w:ascii="Arial" w:eastAsia="Arial" w:hAnsi="Arial" w:cs="Arial"/>
          <w:color w:val="333333"/>
        </w:rPr>
      </w:pPr>
      <w:r w:rsidRPr="595AB009">
        <w:rPr>
          <w:rFonts w:ascii="Arial" w:eastAsia="Arial" w:hAnsi="Arial" w:cs="Arial"/>
          <w:color w:val="333333"/>
        </w:rPr>
        <w:t xml:space="preserve">Option 5 - Exempt </w:t>
      </w:r>
      <w:r w:rsidR="54D2A839" w:rsidRPr="595AB009">
        <w:rPr>
          <w:rFonts w:ascii="Arial" w:eastAsia="Arial" w:hAnsi="Arial" w:cs="Arial"/>
          <w:color w:val="333333"/>
        </w:rPr>
        <w:t>small-scale</w:t>
      </w:r>
      <w:r w:rsidRPr="595AB009">
        <w:rPr>
          <w:rFonts w:ascii="Arial" w:eastAsia="Arial" w:hAnsi="Arial" w:cs="Arial"/>
          <w:color w:val="333333"/>
        </w:rPr>
        <w:t xml:space="preserve"> mills producing less than 500 metric tonnes of flour per annum from fortification </w:t>
      </w:r>
      <w:r w:rsidR="00C0566A" w:rsidRPr="595AB009">
        <w:rPr>
          <w:rFonts w:ascii="Arial" w:eastAsia="Arial" w:hAnsi="Arial" w:cs="Arial"/>
          <w:color w:val="333333"/>
        </w:rPr>
        <w:t>requirements.</w:t>
      </w:r>
    </w:p>
    <w:p w14:paraId="163FE96B" w14:textId="5629F89E" w:rsidR="00BD4A48" w:rsidRPr="00BD4A48" w:rsidRDefault="1FBF65E9" w:rsidP="00CC205C">
      <w:pPr>
        <w:pStyle w:val="ListParagraph"/>
        <w:numPr>
          <w:ilvl w:val="0"/>
          <w:numId w:val="23"/>
        </w:numPr>
      </w:pPr>
      <w:r w:rsidRPr="00BD4A48">
        <w:rPr>
          <w:rFonts w:ascii="Arial" w:eastAsia="Arial" w:hAnsi="Arial" w:cs="Arial"/>
          <w:color w:val="333333"/>
        </w:rPr>
        <w:t xml:space="preserve">Option 6 – Exempt flour to be used in a product when it is present as an ingredient at </w:t>
      </w:r>
      <w:r w:rsidR="00C0566A" w:rsidRPr="00BD4A48">
        <w:rPr>
          <w:rFonts w:ascii="Arial" w:eastAsia="Arial" w:hAnsi="Arial" w:cs="Arial"/>
          <w:color w:val="333333"/>
        </w:rPr>
        <w:t>10%.</w:t>
      </w:r>
    </w:p>
    <w:p w14:paraId="0E5F4A5A" w14:textId="25EE3008" w:rsidR="1FBF65E9" w:rsidRPr="00BD4A48" w:rsidRDefault="5A23E96C" w:rsidP="00CC205C">
      <w:pPr>
        <w:pStyle w:val="ListParagraph"/>
        <w:numPr>
          <w:ilvl w:val="0"/>
          <w:numId w:val="23"/>
        </w:numPr>
      </w:pPr>
      <w:r w:rsidRPr="3C6AB4A7">
        <w:rPr>
          <w:rFonts w:ascii="Arial" w:eastAsia="Arial" w:hAnsi="Arial" w:cs="Arial"/>
          <w:color w:val="333333"/>
        </w:rPr>
        <w:t>Option 7 – Introduc</w:t>
      </w:r>
      <w:r w:rsidR="3E273DDD" w:rsidRPr="3C6AB4A7">
        <w:rPr>
          <w:rFonts w:ascii="Arial" w:eastAsia="Arial" w:hAnsi="Arial" w:cs="Arial"/>
          <w:color w:val="333333"/>
        </w:rPr>
        <w:t>e</w:t>
      </w:r>
      <w:r w:rsidRPr="3C6AB4A7">
        <w:rPr>
          <w:rFonts w:ascii="Arial" w:eastAsia="Arial" w:hAnsi="Arial" w:cs="Arial"/>
          <w:color w:val="333333"/>
        </w:rPr>
        <w:t xml:space="preserve"> improvement notices in England, Wales and Northern Ireland. </w:t>
      </w:r>
    </w:p>
    <w:p w14:paraId="37E196C7" w14:textId="77777777" w:rsidR="00BD4A48" w:rsidRDefault="00BD4A48" w:rsidP="00BD4A48">
      <w:pPr>
        <w:shd w:val="clear" w:color="auto" w:fill="FFFFFF" w:themeFill="background1"/>
        <w:rPr>
          <w:rFonts w:ascii="Arial" w:eastAsia="Arial" w:hAnsi="Arial" w:cs="Arial"/>
          <w:color w:val="333333"/>
        </w:rPr>
      </w:pPr>
    </w:p>
    <w:p w14:paraId="6CCBD41C" w14:textId="7D4A40AF" w:rsidR="1FBF65E9" w:rsidRDefault="5AFFCD14" w:rsidP="3C6AB4A7">
      <w:pPr>
        <w:shd w:val="clear" w:color="auto" w:fill="FFFFFF" w:themeFill="background1"/>
        <w:rPr>
          <w:rFonts w:ascii="Arial" w:eastAsia="Arial" w:hAnsi="Arial" w:cs="Arial"/>
          <w:color w:val="000000" w:themeColor="text1"/>
        </w:rPr>
      </w:pPr>
      <w:r w:rsidRPr="3C6AB4A7">
        <w:rPr>
          <w:rFonts w:ascii="Arial" w:eastAsia="Arial" w:hAnsi="Arial" w:cs="Arial"/>
          <w:color w:val="333333"/>
        </w:rPr>
        <w:t>(</w:t>
      </w:r>
      <w:r w:rsidR="5A23E96C" w:rsidRPr="3C6AB4A7">
        <w:rPr>
          <w:rFonts w:ascii="Arial" w:eastAsia="Arial" w:hAnsi="Arial" w:cs="Arial"/>
          <w:color w:val="333333"/>
        </w:rPr>
        <w:t>Option 7 did not apply in Scotland as a separate consultation was held in Scotland on the introduction of Compliance Notices</w:t>
      </w:r>
      <w:r w:rsidR="2E58E081" w:rsidRPr="3C6AB4A7">
        <w:rPr>
          <w:rFonts w:ascii="Arial" w:eastAsia="Arial" w:hAnsi="Arial" w:cs="Arial"/>
          <w:color w:val="333333"/>
        </w:rPr>
        <w:t xml:space="preserve"> across food legislation</w:t>
      </w:r>
      <w:r w:rsidR="5A23E96C" w:rsidRPr="3C6AB4A7">
        <w:rPr>
          <w:rFonts w:ascii="Arial" w:eastAsia="Arial" w:hAnsi="Arial" w:cs="Arial"/>
          <w:color w:val="333333"/>
        </w:rPr>
        <w:t xml:space="preserve"> in December 2021</w:t>
      </w:r>
      <w:r w:rsidR="1A74F3E5" w:rsidRPr="3C6AB4A7">
        <w:rPr>
          <w:rFonts w:ascii="Arial" w:eastAsia="Arial" w:hAnsi="Arial" w:cs="Arial"/>
          <w:color w:val="333333"/>
        </w:rPr>
        <w:t>.</w:t>
      </w:r>
      <w:r w:rsidR="5A23E96C" w:rsidRPr="3C6AB4A7">
        <w:rPr>
          <w:rFonts w:ascii="Arial" w:eastAsia="Arial" w:hAnsi="Arial" w:cs="Arial"/>
          <w:color w:val="333333"/>
        </w:rPr>
        <w:t xml:space="preserve"> </w:t>
      </w:r>
      <w:r w:rsidR="609193AA" w:rsidRPr="3C6AB4A7">
        <w:rPr>
          <w:rFonts w:ascii="Arial" w:eastAsia="Arial" w:hAnsi="Arial" w:cs="Arial"/>
          <w:color w:val="000000" w:themeColor="text1"/>
        </w:rPr>
        <w:t>The Food (Scotland) Act 2015 (Compliance Notices) Regulations 2023 then came into force on 30 June 2023 and covers the provisions of the Reg</w:t>
      </w:r>
      <w:r w:rsidR="7E4C3162" w:rsidRPr="3C6AB4A7">
        <w:rPr>
          <w:rFonts w:ascii="Arial" w:eastAsia="Arial" w:hAnsi="Arial" w:cs="Arial"/>
          <w:color w:val="000000" w:themeColor="text1"/>
        </w:rPr>
        <w:t>ulations in respect of the composition of flour</w:t>
      </w:r>
      <w:r w:rsidR="00325C47">
        <w:rPr>
          <w:rFonts w:ascii="Arial" w:eastAsia="Arial" w:hAnsi="Arial" w:cs="Arial"/>
          <w:color w:val="000000" w:themeColor="text1"/>
        </w:rPr>
        <w:t>.</w:t>
      </w:r>
      <w:r w:rsidR="6DA766CC" w:rsidRPr="3C6AB4A7">
        <w:rPr>
          <w:rFonts w:ascii="Arial" w:eastAsia="Arial" w:hAnsi="Arial" w:cs="Arial"/>
          <w:color w:val="000000" w:themeColor="text1"/>
        </w:rPr>
        <w:t>)</w:t>
      </w:r>
    </w:p>
    <w:p w14:paraId="198247B4" w14:textId="10FD5F80" w:rsidR="1FBF65E9" w:rsidRDefault="1FBF65E9" w:rsidP="3C6AB4A7">
      <w:pPr>
        <w:shd w:val="clear" w:color="auto" w:fill="FFFFFF" w:themeFill="background1"/>
        <w:rPr>
          <w:rFonts w:ascii="Arial" w:eastAsia="Arial" w:hAnsi="Arial" w:cs="Arial"/>
          <w:color w:val="333333"/>
        </w:rPr>
      </w:pPr>
    </w:p>
    <w:p w14:paraId="30FE93AD" w14:textId="05D4FF88" w:rsidR="1FBF65E9" w:rsidRDefault="5A23E96C" w:rsidP="3C6AB4A7">
      <w:pPr>
        <w:shd w:val="clear" w:color="auto" w:fill="FFFFFF" w:themeFill="background1"/>
        <w:rPr>
          <w:rFonts w:ascii="Arial" w:eastAsia="Arial" w:hAnsi="Arial" w:cs="Arial"/>
          <w:color w:val="000000" w:themeColor="text1"/>
        </w:rPr>
      </w:pPr>
      <w:r w:rsidRPr="3C6AB4A7">
        <w:rPr>
          <w:rFonts w:ascii="Arial" w:eastAsia="Arial" w:hAnsi="Arial" w:cs="Arial"/>
          <w:color w:val="333333"/>
        </w:rPr>
        <w:t>The consultation received responses from 369 participants from a wide range of stakeholders in Scotland and across the UK and t</w:t>
      </w:r>
      <w:r w:rsidRPr="3C6AB4A7">
        <w:rPr>
          <w:rFonts w:ascii="Arial" w:eastAsia="Arial" w:hAnsi="Arial" w:cs="Arial"/>
          <w:color w:val="000000" w:themeColor="text1"/>
        </w:rPr>
        <w:t xml:space="preserve">he responses were mixed but were generally supportive of the proposals. Having reviewed and assessed responses to the consultation, policy officials in all four nations agreed in principle to progress all of the </w:t>
      </w:r>
      <w:r w:rsidR="3498C5CC" w:rsidRPr="3C6AB4A7">
        <w:rPr>
          <w:rFonts w:ascii="Arial" w:eastAsia="Arial" w:hAnsi="Arial" w:cs="Arial"/>
          <w:color w:val="000000" w:themeColor="text1"/>
        </w:rPr>
        <w:t>proposals</w:t>
      </w:r>
      <w:r w:rsidRPr="3C6AB4A7">
        <w:rPr>
          <w:rFonts w:ascii="Arial" w:eastAsia="Arial" w:hAnsi="Arial" w:cs="Arial"/>
          <w:color w:val="000000" w:themeColor="text1"/>
        </w:rPr>
        <w:t xml:space="preserve"> with the exception of Option 6. Although this option received majority support from consultation respondents overall, on balance it was considered this option would compromise the ability to meet key policy objectives</w:t>
      </w:r>
      <w:r w:rsidR="00D8624C">
        <w:rPr>
          <w:rFonts w:ascii="Arial" w:eastAsia="Arial" w:hAnsi="Arial" w:cs="Arial"/>
          <w:color w:val="000000" w:themeColor="text1"/>
        </w:rPr>
        <w:t xml:space="preserve"> </w:t>
      </w:r>
      <w:r w:rsidRPr="3C6AB4A7">
        <w:rPr>
          <w:rFonts w:ascii="Arial" w:eastAsia="Arial" w:hAnsi="Arial" w:cs="Arial"/>
          <w:color w:val="000000" w:themeColor="text1"/>
        </w:rPr>
        <w:t>due to the complexity of complying, monitoring and enforcing this exemption.</w:t>
      </w:r>
    </w:p>
    <w:p w14:paraId="219521F3" w14:textId="77777777" w:rsidR="00BD4A48" w:rsidRDefault="00BD4A48" w:rsidP="00BD4A48">
      <w:pPr>
        <w:shd w:val="clear" w:color="auto" w:fill="FFFFFF" w:themeFill="background1"/>
        <w:rPr>
          <w:rFonts w:ascii="Arial" w:eastAsia="Arial" w:hAnsi="Arial" w:cs="Arial"/>
          <w:color w:val="000000" w:themeColor="text1"/>
        </w:rPr>
      </w:pPr>
    </w:p>
    <w:p w14:paraId="066981AB" w14:textId="3405F5ED" w:rsidR="017C06D8" w:rsidRDefault="6409CDE6" w:rsidP="3C6AB4A7">
      <w:r>
        <w:t>FSS</w:t>
      </w:r>
      <w:r w:rsidR="701DB8A8">
        <w:t xml:space="preserve"> recommended to</w:t>
      </w:r>
      <w:r w:rsidR="0852987D">
        <w:t xml:space="preserve"> the Scottish Minister for Public Health and Women’s Health</w:t>
      </w:r>
      <w:r w:rsidR="5CFE3907">
        <w:t xml:space="preserve"> </w:t>
      </w:r>
      <w:r w:rsidR="701DB8A8">
        <w:t xml:space="preserve">that all options with the exception of Options 6 and 7 would best </w:t>
      </w:r>
      <w:r w:rsidR="521D4937">
        <w:t>fulfil</w:t>
      </w:r>
      <w:r w:rsidR="701DB8A8">
        <w:t xml:space="preserve"> the objectives of the review </w:t>
      </w:r>
      <w:r w:rsidR="1A981884">
        <w:t xml:space="preserve">in Scotland </w:t>
      </w:r>
      <w:r w:rsidR="701DB8A8">
        <w:t xml:space="preserve">and </w:t>
      </w:r>
      <w:r w:rsidR="0FF3D9F5">
        <w:t xml:space="preserve">the </w:t>
      </w:r>
      <w:r w:rsidR="701DB8A8">
        <w:t>Minister supported this. In addition</w:t>
      </w:r>
      <w:r w:rsidR="61A85731">
        <w:t>,</w:t>
      </w:r>
      <w:r w:rsidR="701DB8A8">
        <w:t xml:space="preserve"> </w:t>
      </w:r>
      <w:r w:rsidR="74120747">
        <w:t xml:space="preserve">the </w:t>
      </w:r>
      <w:r w:rsidR="701DB8A8">
        <w:t xml:space="preserve">Minister agreed to </w:t>
      </w:r>
      <w:r w:rsidR="65275CFC">
        <w:t xml:space="preserve">the provision of </w:t>
      </w:r>
      <w:r w:rsidR="701DB8A8">
        <w:t>a 24 month adjustment period to allow industry to co-ordinate changes across a range of products to mitigate excessive re-labelling costs, reduce</w:t>
      </w:r>
      <w:r w:rsidR="00433EC7">
        <w:t xml:space="preserve"> product and packaging </w:t>
      </w:r>
      <w:r w:rsidR="701DB8A8">
        <w:t>waste</w:t>
      </w:r>
      <w:r w:rsidR="008755DA">
        <w:t xml:space="preserve"> </w:t>
      </w:r>
      <w:r w:rsidR="701DB8A8">
        <w:t xml:space="preserve">as far as possible and implement the changes to composition in a responsible and effective manner to the benefit of the public. The full summary of responses received from the UK wide consultation is available in the published </w:t>
      </w:r>
      <w:hyperlink r:id="rId11" w:anchor="executive-summary">
        <w:r w:rsidR="696A0B59" w:rsidRPr="2A0F0431">
          <w:rPr>
            <w:rStyle w:val="Hyperlink"/>
            <w:color w:val="0000FF"/>
          </w:rPr>
          <w:t>Summary of Responses and Government Response</w:t>
        </w:r>
      </w:hyperlink>
      <w:r w:rsidR="521D4937">
        <w:t>.</w:t>
      </w:r>
    </w:p>
    <w:p w14:paraId="6CACCA90" w14:textId="77777777" w:rsidR="0091424D" w:rsidRPr="0091424D" w:rsidRDefault="68898AE8" w:rsidP="00DA0433">
      <w:pPr>
        <w:pStyle w:val="Heading2"/>
      </w:pPr>
      <w:bookmarkStart w:id="21" w:name="_Toc141427910"/>
      <w:bookmarkStart w:id="22" w:name="_Toc141427993"/>
      <w:r w:rsidRPr="3C6AB4A7">
        <w:t>Business</w:t>
      </w:r>
      <w:bookmarkEnd w:id="21"/>
      <w:bookmarkEnd w:id="22"/>
    </w:p>
    <w:p w14:paraId="37026E30" w14:textId="0C2BB680" w:rsidR="59EFC48E" w:rsidRDefault="50CA5392" w:rsidP="00BD4A48">
      <w:r w:rsidRPr="2A0F0431">
        <w:rPr>
          <w:color w:val="000000" w:themeColor="text1"/>
        </w:rPr>
        <w:t>In 2021</w:t>
      </w:r>
      <w:r w:rsidR="3AD8DE3E" w:rsidRPr="2A0F0431">
        <w:rPr>
          <w:color w:val="000000" w:themeColor="text1"/>
        </w:rPr>
        <w:t>,</w:t>
      </w:r>
      <w:r w:rsidRPr="2A0F0431">
        <w:rPr>
          <w:color w:val="000000" w:themeColor="text1"/>
        </w:rPr>
        <w:t xml:space="preserve"> </w:t>
      </w:r>
      <w:r>
        <w:t>a Bread and Flour Technical Working Group was convened by Defra to initiate a UK wide review to explore the issues around the Bread and Flour Regulations. This included scope for discussion on the compositional requirements for bread and flour and providing definitions in respect of the terms referenced in any potential legislative changes that would be beneficial to protect consumers.</w:t>
      </w:r>
    </w:p>
    <w:p w14:paraId="152DC95C" w14:textId="77777777" w:rsidR="00BD4A48" w:rsidRDefault="00BD4A48" w:rsidP="00BD4A48"/>
    <w:p w14:paraId="56A42E65" w14:textId="00C5947F" w:rsidR="59EFC48E" w:rsidRDefault="59EFC48E" w:rsidP="00BD4A48">
      <w:r w:rsidRPr="017C06D8">
        <w:t xml:space="preserve">Defra hosted three stakeholder engagement meetings in 2021, with FSS and Scottish Government, along with </w:t>
      </w:r>
      <w:r w:rsidR="00325C47">
        <w:t>the FSA</w:t>
      </w:r>
      <w:r w:rsidRPr="017C06D8">
        <w:t xml:space="preserve"> and officials in other devolved government departments with an interest invited to attend. Following this initial stakeholder engagement, the areas considered appropriate for review were developed into options for the 12 week, UK wide public consultation. </w:t>
      </w:r>
    </w:p>
    <w:p w14:paraId="11AD981C" w14:textId="77777777" w:rsidR="00BD4A48" w:rsidRDefault="00BD4A48" w:rsidP="00BD4A48">
      <w:pPr>
        <w:shd w:val="clear" w:color="auto" w:fill="FFFFFF" w:themeFill="background1"/>
        <w:rPr>
          <w:rFonts w:ascii="Arial" w:eastAsia="Arial" w:hAnsi="Arial" w:cs="Arial"/>
          <w:color w:val="333333"/>
        </w:rPr>
      </w:pPr>
    </w:p>
    <w:p w14:paraId="5484E0C6" w14:textId="0BFE2F2E" w:rsidR="00E571AD" w:rsidRDefault="6A8DA291" w:rsidP="00BD4A48">
      <w:pPr>
        <w:shd w:val="clear" w:color="auto" w:fill="FFFFFF" w:themeFill="background1"/>
        <w:rPr>
          <w:rFonts w:ascii="Arial" w:eastAsia="Arial" w:hAnsi="Arial" w:cs="Arial"/>
          <w:color w:val="333333"/>
        </w:rPr>
      </w:pPr>
      <w:r w:rsidRPr="0D8D2513">
        <w:rPr>
          <w:rFonts w:ascii="Arial" w:eastAsia="Arial" w:hAnsi="Arial" w:cs="Arial"/>
          <w:color w:val="333333"/>
        </w:rPr>
        <w:t>In addition, F</w:t>
      </w:r>
      <w:r w:rsidR="2640AD33" w:rsidRPr="0D8D2513">
        <w:rPr>
          <w:rFonts w:ascii="Arial" w:eastAsia="Arial" w:hAnsi="Arial" w:cs="Arial"/>
          <w:color w:val="333333"/>
        </w:rPr>
        <w:t>SS</w:t>
      </w:r>
      <w:r w:rsidRPr="0D8D2513">
        <w:rPr>
          <w:rFonts w:ascii="Arial" w:eastAsia="Arial" w:hAnsi="Arial" w:cs="Arial"/>
          <w:color w:val="333333"/>
        </w:rPr>
        <w:t xml:space="preserve"> intend to carry out further informal face to face engagement with Scottish stakeholders during the 6 week consultation </w:t>
      </w:r>
      <w:r w:rsidRPr="0D8D2513">
        <w:rPr>
          <w:rFonts w:ascii="Arial" w:eastAsia="Arial" w:hAnsi="Arial" w:cs="Arial"/>
          <w:color w:val="000000" w:themeColor="text1"/>
        </w:rPr>
        <w:t xml:space="preserve">on the implementation of the amendments to the Regulations in Scotland </w:t>
      </w:r>
      <w:r w:rsidRPr="0D8D2513">
        <w:rPr>
          <w:rFonts w:ascii="Arial" w:eastAsia="Arial" w:hAnsi="Arial" w:cs="Arial"/>
          <w:color w:val="333333"/>
        </w:rPr>
        <w:t>to establish if the implementation of these changes has any additional impact on Scottish businesses specifically</w:t>
      </w:r>
      <w:r w:rsidRPr="0D8D2513">
        <w:rPr>
          <w:rFonts w:ascii="Arial" w:eastAsia="Arial" w:hAnsi="Arial" w:cs="Arial"/>
          <w:color w:val="000000" w:themeColor="text1"/>
        </w:rPr>
        <w:t xml:space="preserve"> </w:t>
      </w:r>
      <w:r w:rsidRPr="0D8D2513">
        <w:rPr>
          <w:rFonts w:ascii="Arial" w:eastAsia="Arial" w:hAnsi="Arial" w:cs="Arial"/>
          <w:color w:val="333333"/>
        </w:rPr>
        <w:t>that has not already been raised.</w:t>
      </w:r>
    </w:p>
    <w:p w14:paraId="620B25D6" w14:textId="77777777" w:rsidR="00E571AD" w:rsidRDefault="00E571AD">
      <w:pPr>
        <w:spacing w:line="240" w:lineRule="auto"/>
        <w:jc w:val="both"/>
        <w:rPr>
          <w:rFonts w:ascii="Arial" w:eastAsia="Arial" w:hAnsi="Arial" w:cs="Arial"/>
          <w:color w:val="333333"/>
        </w:rPr>
      </w:pPr>
      <w:r>
        <w:rPr>
          <w:rFonts w:ascii="Arial" w:eastAsia="Arial" w:hAnsi="Arial" w:cs="Arial"/>
          <w:color w:val="333333"/>
        </w:rPr>
        <w:br w:type="page"/>
      </w:r>
    </w:p>
    <w:p w14:paraId="59DEA6AC" w14:textId="56DB671A" w:rsidR="00802D22" w:rsidRDefault="1DBB832B" w:rsidP="00B53455">
      <w:pPr>
        <w:pStyle w:val="Heading1"/>
      </w:pPr>
      <w:bookmarkStart w:id="23" w:name="_Toc141427911"/>
      <w:bookmarkStart w:id="24" w:name="_Toc141427994"/>
      <w:bookmarkStart w:id="25" w:name="_Toc142556666"/>
      <w:bookmarkStart w:id="26" w:name="_Toc164407108"/>
      <w:bookmarkStart w:id="27" w:name="_Toc165382840"/>
      <w:r>
        <w:t>Options</w:t>
      </w:r>
      <w:bookmarkEnd w:id="23"/>
      <w:bookmarkEnd w:id="24"/>
      <w:bookmarkEnd w:id="25"/>
      <w:bookmarkEnd w:id="26"/>
      <w:bookmarkEnd w:id="27"/>
    </w:p>
    <w:p w14:paraId="2D1BBD1F" w14:textId="503FEAB0" w:rsidR="595AB009" w:rsidRPr="00B53455" w:rsidRDefault="69516484" w:rsidP="00B53455">
      <w:pPr>
        <w:pStyle w:val="Heading2"/>
      </w:pPr>
      <w:r w:rsidRPr="595AB009">
        <w:t>Overview of options</w:t>
      </w:r>
    </w:p>
    <w:p w14:paraId="160C8201" w14:textId="13AEC839" w:rsidR="00DA63FC" w:rsidRDefault="005AB5CC" w:rsidP="00FB4714">
      <w:r>
        <w:t xml:space="preserve">The options described below were fully covered in the </w:t>
      </w:r>
      <w:r w:rsidR="54F7E3EF">
        <w:t>UK</w:t>
      </w:r>
      <w:r w:rsidR="000635D2">
        <w:t>-</w:t>
      </w:r>
      <w:r w:rsidR="54F7E3EF">
        <w:t xml:space="preserve">wide consultation and supporting Impact </w:t>
      </w:r>
      <w:r w:rsidR="10B926FA">
        <w:t>Assessment and</w:t>
      </w:r>
      <w:r w:rsidR="54F7E3EF">
        <w:t xml:space="preserve"> </w:t>
      </w:r>
      <w:r w:rsidR="00C30583">
        <w:t>O</w:t>
      </w:r>
      <w:r w:rsidR="282F94B9">
        <w:t xml:space="preserve">ption 5 </w:t>
      </w:r>
      <w:r w:rsidR="58A5D2AC">
        <w:t xml:space="preserve">was </w:t>
      </w:r>
      <w:r w:rsidR="54F7E3EF">
        <w:t xml:space="preserve">agreed </w:t>
      </w:r>
      <w:r w:rsidR="0B12578A">
        <w:t xml:space="preserve">across the UK </w:t>
      </w:r>
      <w:r w:rsidR="54F7E3EF">
        <w:t>post</w:t>
      </w:r>
      <w:r w:rsidR="00694385">
        <w:t>-</w:t>
      </w:r>
      <w:r w:rsidR="54F7E3EF">
        <w:t>consultation</w:t>
      </w:r>
      <w:r w:rsidR="7B782C9F">
        <w:t>.</w:t>
      </w:r>
      <w:r w:rsidR="00D8624C">
        <w:t xml:space="preserve"> </w:t>
      </w:r>
    </w:p>
    <w:p w14:paraId="3B3B8E9F" w14:textId="6BB52F48" w:rsidR="595AB009" w:rsidRDefault="595AB009" w:rsidP="595AB009"/>
    <w:tbl>
      <w:tblPr>
        <w:tblStyle w:val="TableGrid"/>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85" w:type="dxa"/>
          <w:bottom w:w="57" w:type="dxa"/>
          <w:right w:w="85" w:type="dxa"/>
        </w:tblCellMar>
        <w:tblLook w:val="04A0" w:firstRow="1" w:lastRow="0" w:firstColumn="1" w:lastColumn="0" w:noHBand="0" w:noVBand="1"/>
      </w:tblPr>
      <w:tblGrid>
        <w:gridCol w:w="1609"/>
        <w:gridCol w:w="1610"/>
        <w:gridCol w:w="1616"/>
        <w:gridCol w:w="1619"/>
        <w:gridCol w:w="1614"/>
        <w:gridCol w:w="1618"/>
      </w:tblGrid>
      <w:tr w:rsidR="00F34683" w14:paraId="1BA398D3" w14:textId="77777777" w:rsidTr="00F34683">
        <w:tc>
          <w:tcPr>
            <w:tcW w:w="831" w:type="pct"/>
            <w:shd w:val="clear" w:color="auto" w:fill="D9D9D9" w:themeFill="background1" w:themeFillShade="D9"/>
          </w:tcPr>
          <w:p w14:paraId="46661C6A" w14:textId="3A1E8A56" w:rsidR="00F34683" w:rsidRPr="00C97069" w:rsidRDefault="00F34683" w:rsidP="00100744">
            <w:r>
              <w:t>Option</w:t>
            </w:r>
          </w:p>
        </w:tc>
        <w:tc>
          <w:tcPr>
            <w:tcW w:w="831" w:type="pct"/>
            <w:shd w:val="clear" w:color="auto" w:fill="D9D9D9" w:themeFill="background1" w:themeFillShade="D9"/>
          </w:tcPr>
          <w:p w14:paraId="346C2AE2" w14:textId="07ABFBCE" w:rsidR="00F34683" w:rsidRPr="00C97069" w:rsidRDefault="00155E34" w:rsidP="00100744">
            <w:r>
              <w:t>Introduce f</w:t>
            </w:r>
            <w:r w:rsidR="00F34683" w:rsidRPr="00C97069">
              <w:t>olic acid</w:t>
            </w:r>
            <w:r>
              <w:t xml:space="preserve"> fortification</w:t>
            </w:r>
          </w:p>
        </w:tc>
        <w:tc>
          <w:tcPr>
            <w:tcW w:w="834" w:type="pct"/>
            <w:shd w:val="clear" w:color="auto" w:fill="D9D9D9" w:themeFill="background1" w:themeFillShade="D9"/>
          </w:tcPr>
          <w:p w14:paraId="34B5FE10" w14:textId="04620C8C" w:rsidR="00F34683" w:rsidRDefault="00B308C4" w:rsidP="00100744">
            <w:r>
              <w:t>Amend f</w:t>
            </w:r>
            <w:r w:rsidR="00F34683">
              <w:t>ortificant levels</w:t>
            </w:r>
          </w:p>
        </w:tc>
        <w:tc>
          <w:tcPr>
            <w:tcW w:w="836" w:type="pct"/>
            <w:shd w:val="clear" w:color="auto" w:fill="D9D9D9" w:themeFill="background1" w:themeFillShade="D9"/>
          </w:tcPr>
          <w:p w14:paraId="44E07D1C" w14:textId="33899097" w:rsidR="00F34683" w:rsidRDefault="00B308C4" w:rsidP="00100744">
            <w:r>
              <w:t>Remove c</w:t>
            </w:r>
            <w:r w:rsidR="00F34683">
              <w:t>alcium specification</w:t>
            </w:r>
          </w:p>
        </w:tc>
        <w:tc>
          <w:tcPr>
            <w:tcW w:w="833" w:type="pct"/>
            <w:shd w:val="clear" w:color="auto" w:fill="D9D9D9" w:themeFill="background1" w:themeFillShade="D9"/>
          </w:tcPr>
          <w:p w14:paraId="732C7815" w14:textId="2D10D70D" w:rsidR="00F34683" w:rsidRDefault="00B308C4" w:rsidP="00100744">
            <w:r>
              <w:t>Clarify w</w:t>
            </w:r>
            <w:r w:rsidR="00F34683">
              <w:t>heat definition</w:t>
            </w:r>
          </w:p>
        </w:tc>
        <w:tc>
          <w:tcPr>
            <w:tcW w:w="835" w:type="pct"/>
            <w:shd w:val="clear" w:color="auto" w:fill="D9D9D9" w:themeFill="background1" w:themeFillShade="D9"/>
          </w:tcPr>
          <w:p w14:paraId="0C07A076" w14:textId="42D4050D" w:rsidR="00F34683" w:rsidRDefault="00B308C4" w:rsidP="00100744">
            <w:r>
              <w:t>E</w:t>
            </w:r>
            <w:r w:rsidR="00F34683">
              <w:t>xemptions</w:t>
            </w:r>
            <w:r>
              <w:t xml:space="preserve"> for small-scale millers</w:t>
            </w:r>
          </w:p>
        </w:tc>
      </w:tr>
      <w:tr w:rsidR="00F34683" w14:paraId="3E4E2B45" w14:textId="77777777" w:rsidTr="00F34683">
        <w:tc>
          <w:tcPr>
            <w:tcW w:w="831" w:type="pct"/>
            <w:shd w:val="clear" w:color="auto" w:fill="F2F2F2" w:themeFill="background1" w:themeFillShade="F2"/>
            <w:vAlign w:val="center"/>
          </w:tcPr>
          <w:p w14:paraId="1D8B70D2" w14:textId="19CFEA75" w:rsidR="00F34683" w:rsidRPr="00F34683" w:rsidRDefault="00F34683" w:rsidP="00F34683">
            <w:pPr>
              <w:rPr>
                <w:rFonts w:eastAsia="MS Gothic" w:cstheme="minorHAnsi"/>
              </w:rPr>
            </w:pPr>
            <w:r w:rsidRPr="00F34683">
              <w:rPr>
                <w:rFonts w:eastAsia="MS Gothic" w:cstheme="minorHAnsi"/>
              </w:rPr>
              <w:t>Option 1</w:t>
            </w:r>
          </w:p>
        </w:tc>
        <w:tc>
          <w:tcPr>
            <w:tcW w:w="831" w:type="pct"/>
            <w:shd w:val="clear" w:color="auto" w:fill="F2F2F2" w:themeFill="background1" w:themeFillShade="F2"/>
            <w:vAlign w:val="center"/>
          </w:tcPr>
          <w:p w14:paraId="6E2A94D7" w14:textId="3C79890C" w:rsidR="00F34683" w:rsidRDefault="00F34683" w:rsidP="00F34683">
            <w:r>
              <w:rPr>
                <w:rFonts w:ascii="Segoe UI Emoji" w:eastAsia="MS Gothic" w:hAnsi="Segoe UI Emoji" w:cs="Segoe UI Emoji"/>
              </w:rPr>
              <w:t>✕</w:t>
            </w:r>
          </w:p>
        </w:tc>
        <w:tc>
          <w:tcPr>
            <w:tcW w:w="834" w:type="pct"/>
            <w:shd w:val="clear" w:color="auto" w:fill="F2F2F2" w:themeFill="background1" w:themeFillShade="F2"/>
            <w:vAlign w:val="center"/>
          </w:tcPr>
          <w:p w14:paraId="729CF32A" w14:textId="77777777" w:rsidR="00F34683" w:rsidRPr="000B03C3" w:rsidRDefault="00F34683" w:rsidP="00F34683">
            <w:pPr>
              <w:rPr>
                <w:rFonts w:cstheme="minorHAnsi"/>
              </w:rPr>
            </w:pPr>
            <w:r>
              <w:rPr>
                <w:rFonts w:ascii="Segoe UI Emoji" w:eastAsia="MS Gothic" w:hAnsi="Segoe UI Emoji" w:cs="Segoe UI Emoji"/>
              </w:rPr>
              <w:t>✕</w:t>
            </w:r>
          </w:p>
        </w:tc>
        <w:tc>
          <w:tcPr>
            <w:tcW w:w="836" w:type="pct"/>
            <w:shd w:val="clear" w:color="auto" w:fill="F2F2F2" w:themeFill="background1" w:themeFillShade="F2"/>
            <w:vAlign w:val="center"/>
          </w:tcPr>
          <w:p w14:paraId="0A29843A" w14:textId="77777777" w:rsidR="00F34683" w:rsidRDefault="00F34683" w:rsidP="00F34683">
            <w:r>
              <w:rPr>
                <w:rFonts w:ascii="Segoe UI Emoji" w:eastAsia="MS Gothic" w:hAnsi="Segoe UI Emoji" w:cs="Segoe UI Emoji"/>
              </w:rPr>
              <w:t>✕</w:t>
            </w:r>
          </w:p>
        </w:tc>
        <w:tc>
          <w:tcPr>
            <w:tcW w:w="833" w:type="pct"/>
            <w:shd w:val="clear" w:color="auto" w:fill="F2F2F2" w:themeFill="background1" w:themeFillShade="F2"/>
            <w:vAlign w:val="center"/>
          </w:tcPr>
          <w:p w14:paraId="75C2632F" w14:textId="77777777" w:rsidR="00F34683" w:rsidRDefault="00F34683" w:rsidP="00F34683">
            <w:r>
              <w:rPr>
                <w:rFonts w:ascii="Segoe UI Emoji" w:eastAsia="MS Gothic" w:hAnsi="Segoe UI Emoji" w:cs="Segoe UI Emoji"/>
              </w:rPr>
              <w:t>✕</w:t>
            </w:r>
          </w:p>
        </w:tc>
        <w:tc>
          <w:tcPr>
            <w:tcW w:w="835" w:type="pct"/>
            <w:shd w:val="clear" w:color="auto" w:fill="F2F2F2" w:themeFill="background1" w:themeFillShade="F2"/>
            <w:vAlign w:val="center"/>
          </w:tcPr>
          <w:p w14:paraId="3D63F22B" w14:textId="77777777" w:rsidR="00F34683" w:rsidRDefault="00F34683" w:rsidP="00F34683">
            <w:r>
              <w:rPr>
                <w:rFonts w:ascii="Segoe UI Emoji" w:eastAsia="MS Gothic" w:hAnsi="Segoe UI Emoji" w:cs="Segoe UI Emoji"/>
              </w:rPr>
              <w:t>✕</w:t>
            </w:r>
          </w:p>
        </w:tc>
      </w:tr>
      <w:tr w:rsidR="00F34683" w14:paraId="4967E3A4" w14:textId="77777777" w:rsidTr="00100744">
        <w:tc>
          <w:tcPr>
            <w:tcW w:w="831" w:type="pct"/>
            <w:shd w:val="clear" w:color="auto" w:fill="F2F2F2" w:themeFill="background1" w:themeFillShade="F2"/>
            <w:vAlign w:val="center"/>
          </w:tcPr>
          <w:p w14:paraId="62A141AF" w14:textId="540B772D" w:rsidR="00F34683" w:rsidRPr="00F34683" w:rsidRDefault="00F34683" w:rsidP="00F34683">
            <w:pPr>
              <w:rPr>
                <w:rFonts w:eastAsia="MS Gothic" w:cstheme="minorHAnsi"/>
              </w:rPr>
            </w:pPr>
            <w:r w:rsidRPr="00F34683">
              <w:rPr>
                <w:rFonts w:eastAsia="MS Gothic" w:cstheme="minorHAnsi"/>
              </w:rPr>
              <w:t>Option 2</w:t>
            </w:r>
          </w:p>
        </w:tc>
        <w:tc>
          <w:tcPr>
            <w:tcW w:w="831" w:type="pct"/>
            <w:shd w:val="clear" w:color="auto" w:fill="C9EBD8" w:themeFill="accent2" w:themeFillTint="33"/>
            <w:vAlign w:val="center"/>
          </w:tcPr>
          <w:p w14:paraId="5F61CE3C" w14:textId="6BD38D4E" w:rsidR="00F34683" w:rsidRDefault="00F34683" w:rsidP="00F34683">
            <w:pPr>
              <w:rPr>
                <w:rFonts w:ascii="Segoe UI Emoji" w:eastAsia="MS Gothic" w:hAnsi="Segoe UI Emoji" w:cs="Segoe UI Emoji"/>
              </w:rPr>
            </w:pPr>
            <w:r>
              <w:rPr>
                <w:rFonts w:ascii="Segoe UI Symbol" w:hAnsi="Segoe UI Symbol" w:cs="Segoe UI Symbol"/>
              </w:rPr>
              <w:t>✓</w:t>
            </w:r>
          </w:p>
        </w:tc>
        <w:tc>
          <w:tcPr>
            <w:tcW w:w="834" w:type="pct"/>
            <w:shd w:val="clear" w:color="auto" w:fill="F2F2F2" w:themeFill="background1" w:themeFillShade="F2"/>
          </w:tcPr>
          <w:p w14:paraId="4631B0B5" w14:textId="21454F5E" w:rsidR="00F34683" w:rsidRDefault="00F34683" w:rsidP="00F34683">
            <w:pPr>
              <w:rPr>
                <w:rFonts w:ascii="Segoe UI Emoji" w:eastAsia="MS Gothic" w:hAnsi="Segoe UI Emoji" w:cs="Segoe UI Emoji"/>
              </w:rPr>
            </w:pPr>
            <w:r w:rsidRPr="006176F1">
              <w:rPr>
                <w:rFonts w:ascii="Segoe UI Emoji" w:eastAsia="MS Gothic" w:hAnsi="Segoe UI Emoji" w:cs="Segoe UI Emoji"/>
              </w:rPr>
              <w:t>✕</w:t>
            </w:r>
          </w:p>
        </w:tc>
        <w:tc>
          <w:tcPr>
            <w:tcW w:w="836" w:type="pct"/>
            <w:shd w:val="clear" w:color="auto" w:fill="F2F2F2" w:themeFill="background1" w:themeFillShade="F2"/>
          </w:tcPr>
          <w:p w14:paraId="7B54F295" w14:textId="7B028DC8" w:rsidR="00F34683" w:rsidRDefault="00F34683" w:rsidP="00F34683">
            <w:pPr>
              <w:rPr>
                <w:rFonts w:ascii="Segoe UI Emoji" w:eastAsia="MS Gothic" w:hAnsi="Segoe UI Emoji" w:cs="Segoe UI Emoji"/>
              </w:rPr>
            </w:pPr>
            <w:r w:rsidRPr="006176F1">
              <w:rPr>
                <w:rFonts w:ascii="Segoe UI Emoji" w:eastAsia="MS Gothic" w:hAnsi="Segoe UI Emoji" w:cs="Segoe UI Emoji"/>
              </w:rPr>
              <w:t>✕</w:t>
            </w:r>
          </w:p>
        </w:tc>
        <w:tc>
          <w:tcPr>
            <w:tcW w:w="833" w:type="pct"/>
            <w:shd w:val="clear" w:color="auto" w:fill="F2F2F2" w:themeFill="background1" w:themeFillShade="F2"/>
          </w:tcPr>
          <w:p w14:paraId="04EB2E60" w14:textId="2C061A2F" w:rsidR="00F34683" w:rsidRDefault="00F34683" w:rsidP="00F34683">
            <w:pPr>
              <w:rPr>
                <w:rFonts w:ascii="Segoe UI Emoji" w:eastAsia="MS Gothic" w:hAnsi="Segoe UI Emoji" w:cs="Segoe UI Emoji"/>
              </w:rPr>
            </w:pPr>
            <w:r w:rsidRPr="006176F1">
              <w:rPr>
                <w:rFonts w:ascii="Segoe UI Emoji" w:eastAsia="MS Gothic" w:hAnsi="Segoe UI Emoji" w:cs="Segoe UI Emoji"/>
              </w:rPr>
              <w:t>✕</w:t>
            </w:r>
          </w:p>
        </w:tc>
        <w:tc>
          <w:tcPr>
            <w:tcW w:w="835" w:type="pct"/>
            <w:shd w:val="clear" w:color="auto" w:fill="F2F2F2" w:themeFill="background1" w:themeFillShade="F2"/>
          </w:tcPr>
          <w:p w14:paraId="4D5ED03F" w14:textId="01273F8A" w:rsidR="00F34683" w:rsidRDefault="00F34683" w:rsidP="00F34683">
            <w:pPr>
              <w:rPr>
                <w:rFonts w:ascii="Segoe UI Emoji" w:eastAsia="MS Gothic" w:hAnsi="Segoe UI Emoji" w:cs="Segoe UI Emoji"/>
              </w:rPr>
            </w:pPr>
            <w:r w:rsidRPr="006176F1">
              <w:rPr>
                <w:rFonts w:ascii="Segoe UI Emoji" w:eastAsia="MS Gothic" w:hAnsi="Segoe UI Emoji" w:cs="Segoe UI Emoji"/>
              </w:rPr>
              <w:t>✕</w:t>
            </w:r>
          </w:p>
        </w:tc>
      </w:tr>
      <w:tr w:rsidR="00F34683" w14:paraId="3DFFD190" w14:textId="77777777" w:rsidTr="00100744">
        <w:tc>
          <w:tcPr>
            <w:tcW w:w="831" w:type="pct"/>
            <w:shd w:val="clear" w:color="auto" w:fill="F2F2F2" w:themeFill="background1" w:themeFillShade="F2"/>
            <w:vAlign w:val="center"/>
          </w:tcPr>
          <w:p w14:paraId="53CABA4B" w14:textId="199D2795" w:rsidR="00F34683" w:rsidRPr="00F34683" w:rsidRDefault="00F34683" w:rsidP="00F34683">
            <w:pPr>
              <w:rPr>
                <w:rFonts w:eastAsia="MS Gothic" w:cstheme="minorHAnsi"/>
              </w:rPr>
            </w:pPr>
            <w:r w:rsidRPr="00F34683">
              <w:rPr>
                <w:rFonts w:eastAsia="MS Gothic" w:cstheme="minorHAnsi"/>
              </w:rPr>
              <w:t>Option 3</w:t>
            </w:r>
          </w:p>
        </w:tc>
        <w:tc>
          <w:tcPr>
            <w:tcW w:w="831" w:type="pct"/>
            <w:shd w:val="clear" w:color="auto" w:fill="C9EBD8" w:themeFill="accent2" w:themeFillTint="33"/>
            <w:vAlign w:val="center"/>
          </w:tcPr>
          <w:p w14:paraId="2359B5C0" w14:textId="2C824885" w:rsidR="00F34683" w:rsidRDefault="00F34683" w:rsidP="00F34683">
            <w:pPr>
              <w:rPr>
                <w:rFonts w:ascii="Segoe UI Emoji" w:eastAsia="MS Gothic" w:hAnsi="Segoe UI Emoji" w:cs="Segoe UI Emoji"/>
              </w:rPr>
            </w:pPr>
            <w:r>
              <w:rPr>
                <w:rFonts w:ascii="Segoe UI Symbol" w:hAnsi="Segoe UI Symbol" w:cs="Segoe UI Symbol"/>
              </w:rPr>
              <w:t>✓</w:t>
            </w:r>
          </w:p>
        </w:tc>
        <w:tc>
          <w:tcPr>
            <w:tcW w:w="834" w:type="pct"/>
            <w:shd w:val="clear" w:color="auto" w:fill="C9EBD8" w:themeFill="accent2" w:themeFillTint="33"/>
            <w:vAlign w:val="center"/>
          </w:tcPr>
          <w:p w14:paraId="439E4CCF" w14:textId="0E3D87AC" w:rsidR="00F34683" w:rsidRDefault="00F34683" w:rsidP="00F34683">
            <w:pPr>
              <w:rPr>
                <w:rFonts w:ascii="Segoe UI Emoji" w:eastAsia="MS Gothic" w:hAnsi="Segoe UI Emoji" w:cs="Segoe UI Emoji"/>
              </w:rPr>
            </w:pPr>
            <w:r>
              <w:rPr>
                <w:rFonts w:ascii="Segoe UI Symbol" w:hAnsi="Segoe UI Symbol" w:cs="Segoe UI Symbol"/>
              </w:rPr>
              <w:t>✓</w:t>
            </w:r>
          </w:p>
        </w:tc>
        <w:tc>
          <w:tcPr>
            <w:tcW w:w="836" w:type="pct"/>
            <w:shd w:val="clear" w:color="auto" w:fill="C9EBD8" w:themeFill="accent2" w:themeFillTint="33"/>
            <w:vAlign w:val="center"/>
          </w:tcPr>
          <w:p w14:paraId="2AF574AC" w14:textId="06B77AF9" w:rsidR="00F34683" w:rsidRDefault="00F34683" w:rsidP="00F34683">
            <w:pPr>
              <w:rPr>
                <w:rFonts w:ascii="Segoe UI Emoji" w:eastAsia="MS Gothic" w:hAnsi="Segoe UI Emoji" w:cs="Segoe UI Emoji"/>
              </w:rPr>
            </w:pPr>
            <w:r>
              <w:rPr>
                <w:rFonts w:ascii="Segoe UI Symbol" w:hAnsi="Segoe UI Symbol" w:cs="Segoe UI Symbol"/>
              </w:rPr>
              <w:t>✓</w:t>
            </w:r>
          </w:p>
        </w:tc>
        <w:tc>
          <w:tcPr>
            <w:tcW w:w="833" w:type="pct"/>
            <w:shd w:val="clear" w:color="auto" w:fill="F2F2F2" w:themeFill="background1" w:themeFillShade="F2"/>
          </w:tcPr>
          <w:p w14:paraId="2589AB4D" w14:textId="4334F0BD" w:rsidR="00F34683" w:rsidRDefault="00F34683" w:rsidP="00F34683">
            <w:pPr>
              <w:rPr>
                <w:rFonts w:ascii="Segoe UI Emoji" w:eastAsia="MS Gothic" w:hAnsi="Segoe UI Emoji" w:cs="Segoe UI Emoji"/>
              </w:rPr>
            </w:pPr>
            <w:r w:rsidRPr="00256656">
              <w:rPr>
                <w:rFonts w:ascii="Segoe UI Emoji" w:eastAsia="MS Gothic" w:hAnsi="Segoe UI Emoji" w:cs="Segoe UI Emoji"/>
              </w:rPr>
              <w:t>✕</w:t>
            </w:r>
          </w:p>
        </w:tc>
        <w:tc>
          <w:tcPr>
            <w:tcW w:w="835" w:type="pct"/>
            <w:shd w:val="clear" w:color="auto" w:fill="F2F2F2" w:themeFill="background1" w:themeFillShade="F2"/>
          </w:tcPr>
          <w:p w14:paraId="2D7D6105" w14:textId="61044ABD" w:rsidR="00F34683" w:rsidRDefault="00F34683" w:rsidP="00F34683">
            <w:pPr>
              <w:rPr>
                <w:rFonts w:ascii="Segoe UI Emoji" w:eastAsia="MS Gothic" w:hAnsi="Segoe UI Emoji" w:cs="Segoe UI Emoji"/>
              </w:rPr>
            </w:pPr>
            <w:r w:rsidRPr="00256656">
              <w:rPr>
                <w:rFonts w:ascii="Segoe UI Emoji" w:eastAsia="MS Gothic" w:hAnsi="Segoe UI Emoji" w:cs="Segoe UI Emoji"/>
              </w:rPr>
              <w:t>✕</w:t>
            </w:r>
          </w:p>
        </w:tc>
      </w:tr>
      <w:tr w:rsidR="00F34683" w14:paraId="5367C53B" w14:textId="77777777" w:rsidTr="00F34683">
        <w:tc>
          <w:tcPr>
            <w:tcW w:w="831" w:type="pct"/>
            <w:shd w:val="clear" w:color="auto" w:fill="F2F2F2" w:themeFill="background1" w:themeFillShade="F2"/>
            <w:vAlign w:val="center"/>
          </w:tcPr>
          <w:p w14:paraId="2F00B27E" w14:textId="66D981AD" w:rsidR="00F34683" w:rsidRPr="00F34683" w:rsidRDefault="00F34683" w:rsidP="00F34683">
            <w:pPr>
              <w:rPr>
                <w:rFonts w:eastAsia="MS Gothic" w:cstheme="minorHAnsi"/>
              </w:rPr>
            </w:pPr>
            <w:r w:rsidRPr="00F34683">
              <w:rPr>
                <w:rFonts w:eastAsia="MS Gothic" w:cstheme="minorHAnsi"/>
              </w:rPr>
              <w:t>Option 4</w:t>
            </w:r>
          </w:p>
        </w:tc>
        <w:tc>
          <w:tcPr>
            <w:tcW w:w="831" w:type="pct"/>
            <w:shd w:val="clear" w:color="auto" w:fill="C9EBD8" w:themeFill="accent2" w:themeFillTint="33"/>
            <w:vAlign w:val="center"/>
          </w:tcPr>
          <w:p w14:paraId="48CC59B3" w14:textId="2F271F02" w:rsidR="00F34683" w:rsidRDefault="00F34683" w:rsidP="00F34683">
            <w:pPr>
              <w:rPr>
                <w:rFonts w:ascii="Segoe UI Emoji" w:eastAsia="MS Gothic" w:hAnsi="Segoe UI Emoji" w:cs="Segoe UI Emoji"/>
              </w:rPr>
            </w:pPr>
            <w:r>
              <w:rPr>
                <w:rFonts w:ascii="Segoe UI Symbol" w:hAnsi="Segoe UI Symbol" w:cs="Segoe UI Symbol"/>
              </w:rPr>
              <w:t>✓</w:t>
            </w:r>
          </w:p>
        </w:tc>
        <w:tc>
          <w:tcPr>
            <w:tcW w:w="834" w:type="pct"/>
            <w:shd w:val="clear" w:color="auto" w:fill="C9EBD8" w:themeFill="accent2" w:themeFillTint="33"/>
            <w:vAlign w:val="center"/>
          </w:tcPr>
          <w:p w14:paraId="6299FE45" w14:textId="6BD5D4A6" w:rsidR="00F34683" w:rsidRDefault="00F34683" w:rsidP="00F34683">
            <w:pPr>
              <w:rPr>
                <w:rFonts w:ascii="Segoe UI Emoji" w:eastAsia="MS Gothic" w:hAnsi="Segoe UI Emoji" w:cs="Segoe UI Emoji"/>
              </w:rPr>
            </w:pPr>
            <w:r>
              <w:rPr>
                <w:rFonts w:ascii="Segoe UI Symbol" w:hAnsi="Segoe UI Symbol" w:cs="Segoe UI Symbol"/>
              </w:rPr>
              <w:t>✓</w:t>
            </w:r>
          </w:p>
        </w:tc>
        <w:tc>
          <w:tcPr>
            <w:tcW w:w="836" w:type="pct"/>
            <w:shd w:val="clear" w:color="auto" w:fill="C9EBD8" w:themeFill="accent2" w:themeFillTint="33"/>
            <w:vAlign w:val="center"/>
          </w:tcPr>
          <w:p w14:paraId="48BC7987" w14:textId="5F88EA42" w:rsidR="00F34683" w:rsidRDefault="00F34683" w:rsidP="00F34683">
            <w:pPr>
              <w:rPr>
                <w:rFonts w:ascii="Segoe UI Emoji" w:eastAsia="MS Gothic" w:hAnsi="Segoe UI Emoji" w:cs="Segoe UI Emoji"/>
              </w:rPr>
            </w:pPr>
            <w:r>
              <w:rPr>
                <w:rFonts w:ascii="Segoe UI Symbol" w:hAnsi="Segoe UI Symbol" w:cs="Segoe UI Symbol"/>
              </w:rPr>
              <w:t>✓</w:t>
            </w:r>
          </w:p>
        </w:tc>
        <w:tc>
          <w:tcPr>
            <w:tcW w:w="833" w:type="pct"/>
            <w:shd w:val="clear" w:color="auto" w:fill="C9EBD8" w:themeFill="accent2" w:themeFillTint="33"/>
            <w:vAlign w:val="center"/>
          </w:tcPr>
          <w:p w14:paraId="018F0F6E" w14:textId="6CDB8588" w:rsidR="00F34683" w:rsidRDefault="00F34683" w:rsidP="00F34683">
            <w:pPr>
              <w:rPr>
                <w:rFonts w:ascii="Segoe UI Emoji" w:eastAsia="MS Gothic" w:hAnsi="Segoe UI Emoji" w:cs="Segoe UI Emoji"/>
              </w:rPr>
            </w:pPr>
            <w:r>
              <w:rPr>
                <w:rFonts w:ascii="Segoe UI Symbol" w:hAnsi="Segoe UI Symbol" w:cs="Segoe UI Symbol"/>
              </w:rPr>
              <w:t>✓</w:t>
            </w:r>
          </w:p>
        </w:tc>
        <w:tc>
          <w:tcPr>
            <w:tcW w:w="835" w:type="pct"/>
            <w:shd w:val="clear" w:color="auto" w:fill="F2F2F2" w:themeFill="background1" w:themeFillShade="F2"/>
            <w:vAlign w:val="center"/>
          </w:tcPr>
          <w:p w14:paraId="684FAB33" w14:textId="4FF43F9E" w:rsidR="00F34683" w:rsidRDefault="00F34683" w:rsidP="00F34683">
            <w:pPr>
              <w:rPr>
                <w:rFonts w:ascii="Segoe UI Emoji" w:eastAsia="MS Gothic" w:hAnsi="Segoe UI Emoji" w:cs="Segoe UI Emoji"/>
              </w:rPr>
            </w:pPr>
            <w:r>
              <w:rPr>
                <w:rFonts w:ascii="Segoe UI Emoji" w:eastAsia="MS Gothic" w:hAnsi="Segoe UI Emoji" w:cs="Segoe UI Emoji"/>
              </w:rPr>
              <w:t>✕</w:t>
            </w:r>
          </w:p>
        </w:tc>
      </w:tr>
      <w:tr w:rsidR="00F34683" w14:paraId="64236110" w14:textId="77777777" w:rsidTr="00F34683">
        <w:tc>
          <w:tcPr>
            <w:tcW w:w="831" w:type="pct"/>
            <w:shd w:val="clear" w:color="auto" w:fill="F2F2F2" w:themeFill="background1" w:themeFillShade="F2"/>
            <w:vAlign w:val="center"/>
          </w:tcPr>
          <w:p w14:paraId="73FA4AD6" w14:textId="4E598076" w:rsidR="00F34683" w:rsidRPr="00F34683" w:rsidRDefault="00F34683" w:rsidP="00F34683">
            <w:pPr>
              <w:rPr>
                <w:rFonts w:eastAsia="MS Gothic" w:cstheme="minorHAnsi"/>
              </w:rPr>
            </w:pPr>
            <w:r w:rsidRPr="00F34683">
              <w:rPr>
                <w:rFonts w:eastAsia="MS Gothic" w:cstheme="minorHAnsi"/>
              </w:rPr>
              <w:t>Option 5</w:t>
            </w:r>
          </w:p>
        </w:tc>
        <w:tc>
          <w:tcPr>
            <w:tcW w:w="831" w:type="pct"/>
            <w:shd w:val="clear" w:color="auto" w:fill="C9EBD8" w:themeFill="accent2" w:themeFillTint="33"/>
            <w:vAlign w:val="center"/>
          </w:tcPr>
          <w:p w14:paraId="6415F238" w14:textId="00786E3A" w:rsidR="00F34683" w:rsidRDefault="00F34683" w:rsidP="00F34683">
            <w:pPr>
              <w:rPr>
                <w:rFonts w:ascii="Segoe UI Emoji" w:eastAsia="MS Gothic" w:hAnsi="Segoe UI Emoji" w:cs="Segoe UI Emoji"/>
              </w:rPr>
            </w:pPr>
            <w:r>
              <w:rPr>
                <w:rFonts w:ascii="Segoe UI Symbol" w:hAnsi="Segoe UI Symbol" w:cs="Segoe UI Symbol"/>
              </w:rPr>
              <w:t>✓</w:t>
            </w:r>
          </w:p>
        </w:tc>
        <w:tc>
          <w:tcPr>
            <w:tcW w:w="834" w:type="pct"/>
            <w:shd w:val="clear" w:color="auto" w:fill="C9EBD8" w:themeFill="accent2" w:themeFillTint="33"/>
            <w:vAlign w:val="center"/>
          </w:tcPr>
          <w:p w14:paraId="38FA3F90" w14:textId="5893681B" w:rsidR="00F34683" w:rsidRDefault="00F34683" w:rsidP="00F34683">
            <w:pPr>
              <w:rPr>
                <w:rFonts w:ascii="Segoe UI Emoji" w:eastAsia="MS Gothic" w:hAnsi="Segoe UI Emoji" w:cs="Segoe UI Emoji"/>
              </w:rPr>
            </w:pPr>
            <w:r>
              <w:rPr>
                <w:rFonts w:ascii="Segoe UI Symbol" w:hAnsi="Segoe UI Symbol" w:cs="Segoe UI Symbol"/>
              </w:rPr>
              <w:t>✓</w:t>
            </w:r>
          </w:p>
        </w:tc>
        <w:tc>
          <w:tcPr>
            <w:tcW w:w="836" w:type="pct"/>
            <w:shd w:val="clear" w:color="auto" w:fill="C9EBD8" w:themeFill="accent2" w:themeFillTint="33"/>
            <w:vAlign w:val="center"/>
          </w:tcPr>
          <w:p w14:paraId="73653C65" w14:textId="43512546" w:rsidR="00F34683" w:rsidRDefault="00F34683" w:rsidP="00F34683">
            <w:pPr>
              <w:rPr>
                <w:rFonts w:ascii="Segoe UI Emoji" w:eastAsia="MS Gothic" w:hAnsi="Segoe UI Emoji" w:cs="Segoe UI Emoji"/>
              </w:rPr>
            </w:pPr>
            <w:r>
              <w:rPr>
                <w:rFonts w:ascii="Segoe UI Symbol" w:hAnsi="Segoe UI Symbol" w:cs="Segoe UI Symbol"/>
              </w:rPr>
              <w:t>✓</w:t>
            </w:r>
          </w:p>
        </w:tc>
        <w:tc>
          <w:tcPr>
            <w:tcW w:w="833" w:type="pct"/>
            <w:shd w:val="clear" w:color="auto" w:fill="C9EBD8" w:themeFill="accent2" w:themeFillTint="33"/>
            <w:vAlign w:val="center"/>
          </w:tcPr>
          <w:p w14:paraId="0DCADAAB" w14:textId="7300C90F" w:rsidR="00F34683" w:rsidRDefault="00F34683" w:rsidP="00F34683">
            <w:pPr>
              <w:rPr>
                <w:rFonts w:ascii="Segoe UI Emoji" w:eastAsia="MS Gothic" w:hAnsi="Segoe UI Emoji" w:cs="Segoe UI Emoji"/>
              </w:rPr>
            </w:pPr>
            <w:r>
              <w:rPr>
                <w:rFonts w:ascii="Segoe UI Symbol" w:hAnsi="Segoe UI Symbol" w:cs="Segoe UI Symbol"/>
              </w:rPr>
              <w:t>✓</w:t>
            </w:r>
          </w:p>
        </w:tc>
        <w:tc>
          <w:tcPr>
            <w:tcW w:w="835" w:type="pct"/>
            <w:shd w:val="clear" w:color="auto" w:fill="C9EBD8" w:themeFill="accent2" w:themeFillTint="33"/>
            <w:vAlign w:val="center"/>
          </w:tcPr>
          <w:p w14:paraId="3A337BDB" w14:textId="36C26429" w:rsidR="00F34683" w:rsidRDefault="00F34683" w:rsidP="00F34683">
            <w:pPr>
              <w:rPr>
                <w:rFonts w:ascii="Segoe UI Emoji" w:eastAsia="MS Gothic" w:hAnsi="Segoe UI Emoji" w:cs="Segoe UI Emoji"/>
              </w:rPr>
            </w:pPr>
            <w:r>
              <w:rPr>
                <w:rFonts w:ascii="Segoe UI Symbol" w:hAnsi="Segoe UI Symbol" w:cs="Segoe UI Symbol"/>
              </w:rPr>
              <w:t>✓</w:t>
            </w:r>
          </w:p>
        </w:tc>
      </w:tr>
    </w:tbl>
    <w:p w14:paraId="0216E094" w14:textId="5401552D" w:rsidR="00FB4714" w:rsidRDefault="77781767" w:rsidP="00DA0433">
      <w:pPr>
        <w:pStyle w:val="Heading2"/>
      </w:pPr>
      <w:bookmarkStart w:id="28" w:name="_Toc141427912"/>
      <w:bookmarkStart w:id="29" w:name="_Toc141427995"/>
      <w:r w:rsidRPr="3C6AB4A7">
        <w:t>Option 1</w:t>
      </w:r>
      <w:r w:rsidR="05F01A01" w:rsidRPr="3C6AB4A7">
        <w:t xml:space="preserve">: </w:t>
      </w:r>
      <w:r w:rsidRPr="3C6AB4A7">
        <w:t>Do nothing</w:t>
      </w:r>
      <w:bookmarkEnd w:id="28"/>
      <w:bookmarkEnd w:id="29"/>
    </w:p>
    <w:p w14:paraId="5E8146D7" w14:textId="0A0A298D" w:rsidR="00C97069" w:rsidRDefault="0A1E4D73" w:rsidP="595AB009">
      <w:r>
        <w:t>Do not amend the Regulations.</w:t>
      </w:r>
      <w:r w:rsidRPr="595AB009">
        <w:rPr>
          <w:rFonts w:ascii="Arial" w:eastAsia="Arial" w:hAnsi="Arial" w:cs="Arial"/>
        </w:rPr>
        <w:t xml:space="preserve"> </w:t>
      </w:r>
      <w:r w:rsidR="4D0234F2" w:rsidRPr="595AB009">
        <w:rPr>
          <w:rFonts w:ascii="Arial" w:eastAsia="Arial" w:hAnsi="Arial" w:cs="Arial"/>
        </w:rPr>
        <w:t>This option would have involved not making any changes to the existing Regulations at all.</w:t>
      </w:r>
      <w:r w:rsidR="00D8624C">
        <w:rPr>
          <w:rFonts w:ascii="Arial" w:eastAsia="Arial" w:hAnsi="Arial" w:cs="Arial"/>
        </w:rPr>
        <w:t xml:space="preserve"> </w:t>
      </w:r>
      <w:r w:rsidR="6D0597E5">
        <w:t>Measures looking to improve regulatory clarity, exemptions based on industry feedback and mandatory fortification of flour with folic acid would not be introduced into the R</w:t>
      </w:r>
      <w:r w:rsidR="14919A1B">
        <w:t>egulation</w:t>
      </w:r>
      <w:r w:rsidR="6D0597E5">
        <w:t>s.</w:t>
      </w:r>
    </w:p>
    <w:p w14:paraId="7E4E1C9C" w14:textId="06C120E9" w:rsidR="00686349" w:rsidRDefault="77781767" w:rsidP="00DA0433">
      <w:pPr>
        <w:pStyle w:val="Heading2"/>
      </w:pPr>
      <w:bookmarkStart w:id="30" w:name="_Toc141427913"/>
      <w:bookmarkStart w:id="31" w:name="_Toc141427996"/>
      <w:r w:rsidRPr="3C6AB4A7">
        <w:t>Option 2</w:t>
      </w:r>
      <w:r w:rsidR="588EF95B" w:rsidRPr="3C6AB4A7">
        <w:t xml:space="preserve">: </w:t>
      </w:r>
      <w:r w:rsidRPr="3C6AB4A7">
        <w:t>Introduce folic acid fortification of flour as the only</w:t>
      </w:r>
      <w:r w:rsidR="00A26177">
        <w:t xml:space="preserve">  </w:t>
      </w:r>
      <w:r w:rsidR="4FC0B3AF" w:rsidRPr="3C6AB4A7">
        <w:t xml:space="preserve"> </w:t>
      </w:r>
      <w:r w:rsidRPr="3C6AB4A7">
        <w:t xml:space="preserve">amendment to the </w:t>
      </w:r>
      <w:bookmarkEnd w:id="30"/>
      <w:bookmarkEnd w:id="31"/>
      <w:r w:rsidRPr="3C6AB4A7">
        <w:t>R</w:t>
      </w:r>
      <w:r w:rsidR="7FC70707" w:rsidRPr="3C6AB4A7">
        <w:t>egulations</w:t>
      </w:r>
    </w:p>
    <w:p w14:paraId="098760AA" w14:textId="04734073" w:rsidR="00806801" w:rsidRDefault="3DF5991F" w:rsidP="00DA03E2">
      <w:r>
        <w:t xml:space="preserve">This option would </w:t>
      </w:r>
      <w:r w:rsidR="15405BD2">
        <w:t xml:space="preserve">have </w:t>
      </w:r>
      <w:r>
        <w:t>entail</w:t>
      </w:r>
      <w:r w:rsidR="5A72D928">
        <w:t>ed</w:t>
      </w:r>
      <w:r>
        <w:t xml:space="preserve"> amending the R</w:t>
      </w:r>
      <w:r w:rsidR="217886BB">
        <w:t>egulations</w:t>
      </w:r>
      <w:r>
        <w:t xml:space="preserve"> to allow the fortification of flour with folic acid</w:t>
      </w:r>
      <w:r w:rsidR="3AFC0904">
        <w:t xml:space="preserve"> (at 250</w:t>
      </w:r>
      <w:r w:rsidR="0256A458">
        <w:t>μg</w:t>
      </w:r>
      <w:r w:rsidR="3AFC0904">
        <w:t xml:space="preserve"> per 100g flour)</w:t>
      </w:r>
      <w:r>
        <w:t>. No further amendments to the BFR would be made. This measure has already been s</w:t>
      </w:r>
      <w:r w:rsidR="13396243">
        <w:t xml:space="preserve">ubject to a pre-consultation IA undertaken by </w:t>
      </w:r>
      <w:r w:rsidR="03AE6D1E">
        <w:t>Department of Health and Social Care (</w:t>
      </w:r>
      <w:r w:rsidR="13396243">
        <w:t>DHSC</w:t>
      </w:r>
      <w:r w:rsidR="5E0F69EB">
        <w:t>)</w:t>
      </w:r>
      <w:r w:rsidR="76D3DC13">
        <w:t xml:space="preserve">, which was used as the basis for this Scotland-specific </w:t>
      </w:r>
      <w:r w:rsidR="56889944">
        <w:t xml:space="preserve">Business Regulatory </w:t>
      </w:r>
      <w:r w:rsidR="76D3DC13">
        <w:t>I</w:t>
      </w:r>
      <w:r w:rsidR="37634EF0">
        <w:t xml:space="preserve">mpact </w:t>
      </w:r>
      <w:r w:rsidR="76D3DC13">
        <w:t>A</w:t>
      </w:r>
      <w:r w:rsidR="62F3ACB7">
        <w:t>ssessment</w:t>
      </w:r>
      <w:r w:rsidR="76D3DC13">
        <w:t xml:space="preserve"> by FSS.</w:t>
      </w:r>
    </w:p>
    <w:p w14:paraId="70A62C1E" w14:textId="2FE9531E" w:rsidR="00686349" w:rsidRDefault="77781767" w:rsidP="00DA0433">
      <w:pPr>
        <w:pStyle w:val="Heading2"/>
      </w:pPr>
      <w:bookmarkStart w:id="32" w:name="_Toc141427914"/>
      <w:bookmarkStart w:id="33" w:name="_Toc141427997"/>
      <w:r w:rsidRPr="3C6AB4A7">
        <w:t>Option 3</w:t>
      </w:r>
      <w:r w:rsidR="487BE490" w:rsidRPr="3C6AB4A7">
        <w:t>:</w:t>
      </w:r>
      <w:r w:rsidRPr="3C6AB4A7">
        <w:t xml:space="preserve"> As per Option 2</w:t>
      </w:r>
      <w:r w:rsidR="4778141B" w:rsidRPr="3C6AB4A7">
        <w:t xml:space="preserve"> </w:t>
      </w:r>
      <w:r w:rsidR="06E16D1E" w:rsidRPr="3C6AB4A7">
        <w:t>plus</w:t>
      </w:r>
      <w:r w:rsidRPr="3C6AB4A7">
        <w:t xml:space="preserve"> address </w:t>
      </w:r>
      <w:r w:rsidR="0CA9155A" w:rsidRPr="3C6AB4A7">
        <w:t>the Regulations</w:t>
      </w:r>
      <w:r w:rsidRPr="3C6AB4A7">
        <w:t xml:space="preserve"> interactions with wider food regulations</w:t>
      </w:r>
      <w:bookmarkEnd w:id="32"/>
      <w:bookmarkEnd w:id="33"/>
    </w:p>
    <w:p w14:paraId="31F75F61" w14:textId="427D572F" w:rsidR="00DA03E2" w:rsidRDefault="3DF5991F" w:rsidP="00DA03E2">
      <w:r>
        <w:t>This option build</w:t>
      </w:r>
      <w:r w:rsidR="0EEE6BDB">
        <w:t>s</w:t>
      </w:r>
      <w:r>
        <w:t xml:space="preserve"> on Option 2 above but also involves two additional measures to address inconsistencies between the Regulations and the other overlapping food regulations, as per the below:</w:t>
      </w:r>
    </w:p>
    <w:p w14:paraId="7A12D60A" w14:textId="77777777" w:rsidR="00DA03E2" w:rsidRDefault="00DA03E2" w:rsidP="00DA03E2"/>
    <w:p w14:paraId="3FAA3A9D" w14:textId="780114A1" w:rsidR="00DA03E2" w:rsidRDefault="00DA03E2" w:rsidP="00CC205C">
      <w:pPr>
        <w:pStyle w:val="ListParagraph"/>
        <w:numPr>
          <w:ilvl w:val="0"/>
          <w:numId w:val="12"/>
        </w:numPr>
      </w:pPr>
      <w:r>
        <w:t xml:space="preserve">Amend </w:t>
      </w:r>
      <w:r w:rsidR="659A6998">
        <w:t>the Regulations</w:t>
      </w:r>
      <w:r>
        <w:t xml:space="preserve"> to raise required fortificant levels to the 15% level required by overlapping legislation on the addition of vitamins and minerals to food generally</w:t>
      </w:r>
      <w:r w:rsidR="001161C2">
        <w:t xml:space="preserve"> – this o</w:t>
      </w:r>
      <w:r>
        <w:t xml:space="preserve">ption would involve raising the minimum levels of nutrients so that they are all level with or higher than the 15% </w:t>
      </w:r>
      <w:r w:rsidR="00081070">
        <w:t>Nutrient Reference Values (NRV)</w:t>
      </w:r>
      <w:r>
        <w:t xml:space="preserve"> threshold specified in Regulation 1925/2006. </w:t>
      </w:r>
      <w:r w:rsidR="382068BF">
        <w:t>A</w:t>
      </w:r>
      <w:r>
        <w:t xml:space="preserve">ligning </w:t>
      </w:r>
      <w:r w:rsidR="3EFB6B05">
        <w:t>the Regulations</w:t>
      </w:r>
      <w:r>
        <w:t xml:space="preserve"> with the horizontal rules &amp; wider nutritional legislation (Regulation 1925/2006 &amp; Regulation 1169/2011) on the fortification of food, </w:t>
      </w:r>
      <w:r w:rsidR="17CB10A3">
        <w:t xml:space="preserve">provides </w:t>
      </w:r>
      <w:r>
        <w:t xml:space="preserve">industry </w:t>
      </w:r>
      <w:r w:rsidR="46AF6AD4">
        <w:t>with</w:t>
      </w:r>
      <w:r w:rsidR="3C27360E">
        <w:t xml:space="preserve"> </w:t>
      </w:r>
      <w:r>
        <w:t>clari</w:t>
      </w:r>
      <w:r w:rsidR="11F7B4BE">
        <w:t>ty</w:t>
      </w:r>
      <w:r>
        <w:t xml:space="preserve"> on </w:t>
      </w:r>
      <w:r w:rsidR="0122F999">
        <w:t xml:space="preserve">the </w:t>
      </w:r>
      <w:r>
        <w:t>UK fortification requirements.</w:t>
      </w:r>
    </w:p>
    <w:p w14:paraId="65639289" w14:textId="77777777" w:rsidR="007E0250" w:rsidRDefault="007E0250" w:rsidP="007E0250">
      <w:pPr>
        <w:pStyle w:val="ListParagraph"/>
      </w:pPr>
    </w:p>
    <w:p w14:paraId="43D8101B" w14:textId="24A3948E" w:rsidR="00E050FF" w:rsidRDefault="3DF5991F" w:rsidP="00CC205C">
      <w:pPr>
        <w:pStyle w:val="ListParagraph"/>
        <w:numPr>
          <w:ilvl w:val="0"/>
          <w:numId w:val="12"/>
        </w:numPr>
      </w:pPr>
      <w:r>
        <w:t xml:space="preserve">Amend </w:t>
      </w:r>
      <w:r w:rsidR="148DB9DF">
        <w:t xml:space="preserve">the Regulations </w:t>
      </w:r>
      <w:r>
        <w:t xml:space="preserve">to remove existing calcium carbonate criteria, requiring millers to comply with </w:t>
      </w:r>
      <w:r w:rsidR="5D936FA2">
        <w:t xml:space="preserve">the </w:t>
      </w:r>
      <w:r>
        <w:t xml:space="preserve">specification in Regulation 231/2012 instead – this </w:t>
      </w:r>
      <w:r w:rsidR="795D8924">
        <w:t>option removes</w:t>
      </w:r>
      <w:r>
        <w:t xml:space="preserve"> misalignment with the overlapping legislation on additives.</w:t>
      </w:r>
    </w:p>
    <w:p w14:paraId="06602811" w14:textId="2AABB902" w:rsidR="00686349" w:rsidRDefault="77781767" w:rsidP="00DA0433">
      <w:pPr>
        <w:pStyle w:val="Heading2"/>
      </w:pPr>
      <w:bookmarkStart w:id="34" w:name="_Toc141427915"/>
      <w:bookmarkStart w:id="35" w:name="_Toc141427998"/>
      <w:r w:rsidRPr="3C6AB4A7">
        <w:t>Option 4</w:t>
      </w:r>
      <w:r w:rsidR="733F96F0" w:rsidRPr="3C6AB4A7">
        <w:t>:</w:t>
      </w:r>
      <w:r w:rsidRPr="3C6AB4A7">
        <w:t xml:space="preserve"> As per Option 3 </w:t>
      </w:r>
      <w:r w:rsidR="4778141B" w:rsidRPr="3C6AB4A7">
        <w:t xml:space="preserve">plus </w:t>
      </w:r>
      <w:r w:rsidRPr="3C6AB4A7">
        <w:t>clarify the scope of the regulation with respect to fortification requirements for wheat flour</w:t>
      </w:r>
      <w:bookmarkEnd w:id="34"/>
      <w:bookmarkEnd w:id="35"/>
    </w:p>
    <w:p w14:paraId="31EDC302" w14:textId="1E62B3BB" w:rsidR="00DA03E2" w:rsidRDefault="00DA03E2" w:rsidP="00DA03E2">
      <w:r w:rsidRPr="00DA03E2">
        <w:t xml:space="preserve">This option </w:t>
      </w:r>
      <w:r>
        <w:t>build</w:t>
      </w:r>
      <w:r w:rsidR="48FBE94B">
        <w:t>s</w:t>
      </w:r>
      <w:r w:rsidRPr="00DA03E2">
        <w:t xml:space="preserve"> on </w:t>
      </w:r>
      <w:r>
        <w:t>O</w:t>
      </w:r>
      <w:r w:rsidRPr="00DA03E2">
        <w:t>p</w:t>
      </w:r>
      <w:r>
        <w:t xml:space="preserve">tion 3 above but also involves </w:t>
      </w:r>
      <w:r w:rsidRPr="00DA03E2">
        <w:t>an additional measure to provide clarity on the type(s) of wheat flour the re</w:t>
      </w:r>
      <w:r>
        <w:t xml:space="preserve">gulations apply to, as per the </w:t>
      </w:r>
      <w:r w:rsidRPr="00DA03E2">
        <w:t>below:</w:t>
      </w:r>
    </w:p>
    <w:p w14:paraId="095EEB5D" w14:textId="77777777" w:rsidR="00DA03E2" w:rsidRDefault="00DA03E2" w:rsidP="00DA03E2"/>
    <w:p w14:paraId="6A803966" w14:textId="4B60B630" w:rsidR="001A69BC" w:rsidRDefault="00DA03E2" w:rsidP="00CC205C">
      <w:pPr>
        <w:pStyle w:val="ListParagraph"/>
        <w:numPr>
          <w:ilvl w:val="0"/>
          <w:numId w:val="13"/>
        </w:numPr>
      </w:pPr>
      <w:r w:rsidRPr="00DA03E2">
        <w:t xml:space="preserve">Provide clarity on the type of wheat which falls within the scope of the fortification requirements in the </w:t>
      </w:r>
      <w:r w:rsidR="49047F2D">
        <w:t>R</w:t>
      </w:r>
      <w:r>
        <w:t>egulations</w:t>
      </w:r>
      <w:r w:rsidRPr="00DA03E2">
        <w:t xml:space="preserve"> so that the fortification requirements apply to “common wheat” Triticum aestivum only - this option </w:t>
      </w:r>
      <w:r>
        <w:t>provide</w:t>
      </w:r>
      <w:r w:rsidR="49CA6DB5">
        <w:t>s</w:t>
      </w:r>
      <w:r w:rsidRPr="00DA03E2">
        <w:t xml:space="preserve"> legal clarity on the type of wheat that falls within the scope of the </w:t>
      </w:r>
      <w:r w:rsidR="4D819B9B">
        <w:t>Regulations</w:t>
      </w:r>
      <w:r w:rsidRPr="00DA03E2">
        <w:t>, removing ambiguity for industry</w:t>
      </w:r>
      <w:r>
        <w:t xml:space="preserve"> and enforcement authorities in </w:t>
      </w:r>
      <w:r w:rsidRPr="00DA03E2">
        <w:t xml:space="preserve">terms of </w:t>
      </w:r>
      <w:r w:rsidR="497566B1">
        <w:t xml:space="preserve">the type of </w:t>
      </w:r>
      <w:r>
        <w:t xml:space="preserve">flour </w:t>
      </w:r>
      <w:r w:rsidR="7A344868">
        <w:t xml:space="preserve">that </w:t>
      </w:r>
      <w:r>
        <w:t>requires fortification.</w:t>
      </w:r>
    </w:p>
    <w:p w14:paraId="64345628" w14:textId="5D554143" w:rsidR="00686349" w:rsidRDefault="77781767" w:rsidP="00DA0433">
      <w:pPr>
        <w:pStyle w:val="Heading2"/>
      </w:pPr>
      <w:bookmarkStart w:id="36" w:name="_Toc141427916"/>
      <w:bookmarkStart w:id="37" w:name="_Toc141427999"/>
      <w:r w:rsidRPr="3C6AB4A7">
        <w:t>Option 5</w:t>
      </w:r>
      <w:r w:rsidR="52CA9275" w:rsidRPr="3C6AB4A7">
        <w:t>:</w:t>
      </w:r>
      <w:r w:rsidRPr="3C6AB4A7">
        <w:t xml:space="preserve"> As per Option 4 </w:t>
      </w:r>
      <w:r w:rsidR="4778141B" w:rsidRPr="3C6AB4A7">
        <w:t>plus</w:t>
      </w:r>
      <w:r w:rsidRPr="3C6AB4A7">
        <w:t xml:space="preserve"> introduce</w:t>
      </w:r>
      <w:r w:rsidR="35468A3E" w:rsidRPr="3C6AB4A7">
        <w:t xml:space="preserve"> a</w:t>
      </w:r>
      <w:r w:rsidRPr="3C6AB4A7">
        <w:t xml:space="preserve"> </w:t>
      </w:r>
      <w:r w:rsidR="6FB1D480" w:rsidRPr="3C6AB4A7">
        <w:t>specific exemption</w:t>
      </w:r>
      <w:r w:rsidRPr="3C6AB4A7">
        <w:t xml:space="preserve"> from the regulations to reflect industry feedback</w:t>
      </w:r>
      <w:r w:rsidR="3DE159A7" w:rsidRPr="3C6AB4A7">
        <w:t xml:space="preserve"> (</w:t>
      </w:r>
      <w:r w:rsidR="245A3C3E" w:rsidRPr="3C6AB4A7">
        <w:t>agreed</w:t>
      </w:r>
      <w:r w:rsidR="3DE159A7" w:rsidRPr="3C6AB4A7">
        <w:t xml:space="preserve"> option)</w:t>
      </w:r>
      <w:bookmarkEnd w:id="36"/>
      <w:bookmarkEnd w:id="37"/>
    </w:p>
    <w:p w14:paraId="46DA3A69" w14:textId="60C3FEB4" w:rsidR="00DA03E2" w:rsidRDefault="00DA03E2" w:rsidP="00DA03E2">
      <w:r>
        <w:t>This option build</w:t>
      </w:r>
      <w:r w:rsidR="38AFCD56">
        <w:t>s</w:t>
      </w:r>
      <w:r>
        <w:t xml:space="preserve"> on Option 4 above but also involves </w:t>
      </w:r>
      <w:r w:rsidR="00F55B8C">
        <w:t xml:space="preserve">an </w:t>
      </w:r>
      <w:r>
        <w:t>additional measure to introduce specific flour fortification exemption, as per the below:</w:t>
      </w:r>
    </w:p>
    <w:p w14:paraId="3CFFADFA" w14:textId="77777777" w:rsidR="00DA03E2" w:rsidRDefault="00DA03E2" w:rsidP="00DA03E2"/>
    <w:p w14:paraId="030C0090" w14:textId="785A132B" w:rsidR="3C6AB4A7" w:rsidRDefault="2F7C3E16" w:rsidP="004C29F2">
      <w:pPr>
        <w:pStyle w:val="ListParagraph"/>
        <w:ind w:left="0"/>
        <w:rPr>
          <w:b/>
          <w:bCs/>
        </w:rPr>
      </w:pPr>
      <w:r>
        <w:t xml:space="preserve">Introduce </w:t>
      </w:r>
      <w:r w:rsidR="599FD079">
        <w:t xml:space="preserve">an </w:t>
      </w:r>
      <w:r>
        <w:t>exemption from all fortification requirements for small-scale millers – this option mean</w:t>
      </w:r>
      <w:r w:rsidR="4D170320">
        <w:t>s</w:t>
      </w:r>
      <w:r>
        <w:t xml:space="preserve"> any type of mill producing </w:t>
      </w:r>
      <w:r w:rsidR="381C0853">
        <w:t xml:space="preserve">no more </w:t>
      </w:r>
      <w:r w:rsidR="00F56DAD">
        <w:t>than</w:t>
      </w:r>
      <w:r w:rsidR="381C0853">
        <w:t xml:space="preserve"> </w:t>
      </w:r>
      <w:r>
        <w:t>500</w:t>
      </w:r>
      <w:r w:rsidR="5FCB14FD">
        <w:t xml:space="preserve"> metric tonnes</w:t>
      </w:r>
      <w:r>
        <w:t xml:space="preserve"> </w:t>
      </w:r>
      <w:r w:rsidR="35969338">
        <w:t>of flour</w:t>
      </w:r>
      <w:r>
        <w:t xml:space="preserve"> per year </w:t>
      </w:r>
      <w:r w:rsidR="1600CD16">
        <w:t>is</w:t>
      </w:r>
      <w:r>
        <w:t xml:space="preserve"> exempt from the requirement to fortify.</w:t>
      </w:r>
    </w:p>
    <w:p w14:paraId="796624F3" w14:textId="77777777" w:rsidR="00B96344" w:rsidRDefault="00B96344" w:rsidP="008F3FCE">
      <w:pPr>
        <w:pStyle w:val="Heading2"/>
      </w:pPr>
      <w:r>
        <w:t>Non-regulatory options</w:t>
      </w:r>
    </w:p>
    <w:p w14:paraId="6B5C2429" w14:textId="4CFBF9F1" w:rsidR="595AB009" w:rsidRDefault="523EBD50" w:rsidP="595AB009">
      <w:r>
        <w:t xml:space="preserve">Non-regulatory options were considered as part of </w:t>
      </w:r>
      <w:r w:rsidR="37176E66">
        <w:t xml:space="preserve">the </w:t>
      </w:r>
      <w:r w:rsidR="62CB105B">
        <w:t>range of</w:t>
      </w:r>
      <w:r w:rsidR="54878F6F">
        <w:t xml:space="preserve"> </w:t>
      </w:r>
      <w:r>
        <w:t>options</w:t>
      </w:r>
      <w:r w:rsidR="6BC4FB09">
        <w:t xml:space="preserve"> </w:t>
      </w:r>
      <w:r w:rsidR="010E175C">
        <w:t>considered but</w:t>
      </w:r>
      <w:r>
        <w:t xml:space="preserve"> were deemed to not effectively meet the policy objectives of this intervention</w:t>
      </w:r>
      <w:r w:rsidR="347F0318">
        <w:t>.</w:t>
      </w:r>
      <w:r>
        <w:t xml:space="preserve"> </w:t>
      </w:r>
    </w:p>
    <w:p w14:paraId="0EAB82AC" w14:textId="77777777" w:rsidR="0091424D" w:rsidRDefault="68898AE8" w:rsidP="00DA0433">
      <w:pPr>
        <w:pStyle w:val="Heading2"/>
      </w:pPr>
      <w:bookmarkStart w:id="38" w:name="_Toc141427917"/>
      <w:bookmarkStart w:id="39" w:name="_Toc141428000"/>
      <w:r w:rsidRPr="3C6AB4A7">
        <w:t>Sectors and groups affected</w:t>
      </w:r>
      <w:bookmarkEnd w:id="38"/>
      <w:bookmarkEnd w:id="39"/>
    </w:p>
    <w:p w14:paraId="7F4CFF9E" w14:textId="48FB1EE2" w:rsidR="00967564" w:rsidRDefault="6D16AD51" w:rsidP="00967564">
      <w:r w:rsidRPr="017C06D8">
        <w:t>The following groups will be affected by the proposed changes.</w:t>
      </w:r>
    </w:p>
    <w:p w14:paraId="7CB58E77" w14:textId="77777777" w:rsidR="00967564" w:rsidRPr="00967564" w:rsidRDefault="00967564" w:rsidP="00967564"/>
    <w:p w14:paraId="2AB2F19B" w14:textId="01226CFF" w:rsidR="6D16AD51" w:rsidRDefault="300B6ACB" w:rsidP="00CC205C">
      <w:pPr>
        <w:pStyle w:val="ListParagraph"/>
        <w:numPr>
          <w:ilvl w:val="0"/>
          <w:numId w:val="24"/>
        </w:numPr>
      </w:pPr>
      <w:r w:rsidRPr="0D8D2513">
        <w:rPr>
          <w:b/>
          <w:bCs/>
        </w:rPr>
        <w:t>Consumers</w:t>
      </w:r>
      <w:r>
        <w:t xml:space="preserve"> – </w:t>
      </w:r>
      <w:r w:rsidR="5D05ECEE">
        <w:t xml:space="preserve">it is anticipated that the general public </w:t>
      </w:r>
      <w:r>
        <w:t xml:space="preserve">will see health benefits owing to </w:t>
      </w:r>
      <w:r w:rsidR="44B3298D">
        <w:t xml:space="preserve">a </w:t>
      </w:r>
      <w:r>
        <w:t>reduction in NTD affected pregnancies as a result of an increase in folate intake across the population of women who could become pregnant.</w:t>
      </w:r>
    </w:p>
    <w:p w14:paraId="6C3DB681" w14:textId="77777777" w:rsidR="00967564" w:rsidRDefault="00967564" w:rsidP="00967564"/>
    <w:p w14:paraId="64E43D30" w14:textId="6D1ECA46" w:rsidR="6D16AD51" w:rsidRDefault="6D16AD51" w:rsidP="00CC205C">
      <w:pPr>
        <w:pStyle w:val="ListParagraph"/>
        <w:numPr>
          <w:ilvl w:val="0"/>
          <w:numId w:val="24"/>
        </w:numPr>
      </w:pPr>
      <w:r w:rsidRPr="2A0F0431">
        <w:rPr>
          <w:b/>
          <w:bCs/>
        </w:rPr>
        <w:t>Businesses</w:t>
      </w:r>
      <w:r>
        <w:t xml:space="preserve"> – </w:t>
      </w:r>
      <w:r w:rsidR="2BBB9283">
        <w:t xml:space="preserve">in the </w:t>
      </w:r>
      <w:r w:rsidR="5E654291">
        <w:t>short-term,</w:t>
      </w:r>
      <w:r w:rsidR="2BBB9283">
        <w:t xml:space="preserve"> manufacturers and businesses will experience </w:t>
      </w:r>
      <w:r w:rsidR="1655CBDC">
        <w:t xml:space="preserve">a period of </w:t>
      </w:r>
      <w:r w:rsidR="6D8CA659">
        <w:t xml:space="preserve">adjustment </w:t>
      </w:r>
      <w:r w:rsidR="1655CBDC">
        <w:t>moving to the new requirements and</w:t>
      </w:r>
      <w:r w:rsidR="533A7A22">
        <w:t xml:space="preserve"> making the necessary changing to packaging and product labelling.</w:t>
      </w:r>
    </w:p>
    <w:p w14:paraId="00A66ECC" w14:textId="77777777" w:rsidR="00967564" w:rsidRDefault="00967564" w:rsidP="00967564"/>
    <w:p w14:paraId="7090ED78" w14:textId="1D4AC498" w:rsidR="017C06D8" w:rsidRDefault="6D16AD51" w:rsidP="001C1BBC">
      <w:pPr>
        <w:pStyle w:val="ListParagraph"/>
        <w:numPr>
          <w:ilvl w:val="0"/>
          <w:numId w:val="24"/>
        </w:numPr>
      </w:pPr>
      <w:r w:rsidRPr="2A0F0431">
        <w:rPr>
          <w:b/>
          <w:bCs/>
        </w:rPr>
        <w:t xml:space="preserve">Enforcement </w:t>
      </w:r>
      <w:r w:rsidR="00CE16EF" w:rsidRPr="2A0F0431">
        <w:rPr>
          <w:b/>
          <w:bCs/>
        </w:rPr>
        <w:t>a</w:t>
      </w:r>
      <w:r w:rsidRPr="2A0F0431">
        <w:rPr>
          <w:b/>
          <w:bCs/>
        </w:rPr>
        <w:t>uthorities</w:t>
      </w:r>
      <w:r>
        <w:t xml:space="preserve"> </w:t>
      </w:r>
      <w:r w:rsidR="00CE16EF">
        <w:t>– w</w:t>
      </w:r>
      <w:r w:rsidR="139F963F">
        <w:t xml:space="preserve">ill initially need to familiarise </w:t>
      </w:r>
      <w:r w:rsidR="4973EAC2">
        <w:t xml:space="preserve">themselves </w:t>
      </w:r>
      <w:r w:rsidR="139F963F">
        <w:t>with the new requirements but will benefit from clearer legislati</w:t>
      </w:r>
      <w:r w:rsidR="264F2749">
        <w:t>ve provisions in respect of the scope and definitions within the Regulations.</w:t>
      </w:r>
    </w:p>
    <w:p w14:paraId="4ECD8129" w14:textId="77777777" w:rsidR="0091424D" w:rsidRDefault="68898AE8" w:rsidP="00DA0433">
      <w:pPr>
        <w:pStyle w:val="Heading2"/>
      </w:pPr>
      <w:bookmarkStart w:id="40" w:name="_Toc141427918"/>
      <w:bookmarkStart w:id="41" w:name="_Toc141428001"/>
      <w:r w:rsidRPr="3C6AB4A7">
        <w:t>Benefits</w:t>
      </w:r>
      <w:bookmarkEnd w:id="40"/>
      <w:bookmarkEnd w:id="41"/>
    </w:p>
    <w:p w14:paraId="3A6460BF" w14:textId="142FE64C" w:rsidR="00417D72" w:rsidRDefault="622CAB19" w:rsidP="00874ABD">
      <w:pPr>
        <w:spacing w:line="276" w:lineRule="auto"/>
      </w:pPr>
      <w:r>
        <w:t xml:space="preserve">The majority of the (monetised) benefits stem from the </w:t>
      </w:r>
      <w:r w:rsidR="2621CB77">
        <w:t>i</w:t>
      </w:r>
      <w:r>
        <w:t>nclusion of folic acid fortification</w:t>
      </w:r>
      <w:r w:rsidR="4B4A37B2">
        <w:t xml:space="preserve"> in Option 2. These benefits are</w:t>
      </w:r>
      <w:r w:rsidR="08E6696E">
        <w:t xml:space="preserve"> assumed to be primarily</w:t>
      </w:r>
      <w:r w:rsidR="4B4A37B2">
        <w:t xml:space="preserve"> in the form of health benefits, NHS treatment cost savings, and increased labour participation. Other benefits include regulatory clarity </w:t>
      </w:r>
      <w:r w:rsidR="08E6696E">
        <w:t xml:space="preserve">(Options 3-5) </w:t>
      </w:r>
      <w:r w:rsidR="4B4A37B2">
        <w:t>and reduced fortification costs for small millers</w:t>
      </w:r>
      <w:r w:rsidR="00A422DA">
        <w:t xml:space="preserve"> (Option 5)</w:t>
      </w:r>
      <w:r w:rsidR="7A628282">
        <w:t>.</w:t>
      </w:r>
    </w:p>
    <w:p w14:paraId="5BD2A8AA" w14:textId="77777777" w:rsidR="00EF5783" w:rsidRDefault="00EF5783" w:rsidP="00874ABD">
      <w:pPr>
        <w:spacing w:line="276" w:lineRule="auto"/>
      </w:pPr>
    </w:p>
    <w:p w14:paraId="37C18F03" w14:textId="7024B4B8" w:rsidR="00EF5783" w:rsidRPr="00680D23" w:rsidRDefault="00EF5783" w:rsidP="00874ABD">
      <w:pPr>
        <w:spacing w:line="276" w:lineRule="auto"/>
        <w:rPr>
          <w:b/>
          <w:bCs/>
        </w:rPr>
      </w:pPr>
      <w:r w:rsidRPr="00680D23">
        <w:rPr>
          <w:b/>
          <w:bCs/>
        </w:rPr>
        <w:t xml:space="preserve">To avoid duplication, each benefit listed here is </w:t>
      </w:r>
      <w:r w:rsidRPr="004F5665">
        <w:rPr>
          <w:b/>
          <w:bCs/>
          <w:u w:val="single"/>
        </w:rPr>
        <w:t>in addition</w:t>
      </w:r>
      <w:r w:rsidRPr="00680D23">
        <w:rPr>
          <w:b/>
          <w:bCs/>
        </w:rPr>
        <w:t xml:space="preserve"> to the benefits from the previous option(s).</w:t>
      </w:r>
    </w:p>
    <w:p w14:paraId="12914AEB" w14:textId="77777777" w:rsidR="00DD66AB" w:rsidRDefault="00DD66AB" w:rsidP="0D8D2513">
      <w:pPr>
        <w:spacing w:line="276" w:lineRule="auto"/>
      </w:pPr>
    </w:p>
    <w:p w14:paraId="535DA7BB" w14:textId="1D2A4A22" w:rsidR="00C910AE" w:rsidRDefault="47D24BE8" w:rsidP="0D8D2513">
      <w:pPr>
        <w:pStyle w:val="Caption"/>
        <w:keepNext/>
        <w:rPr>
          <w:color w:val="auto"/>
        </w:rPr>
      </w:pPr>
      <w:r w:rsidRPr="0D8D2513">
        <w:rPr>
          <w:color w:val="auto"/>
        </w:rPr>
        <w:t xml:space="preserve">Table </w:t>
      </w:r>
      <w:r w:rsidR="00C910AE">
        <w:fldChar w:fldCharType="begin"/>
      </w:r>
      <w:r w:rsidR="00C910AE">
        <w:instrText xml:space="preserve"> SEQ Table \* ARABIC </w:instrText>
      </w:r>
      <w:r w:rsidR="00C910AE">
        <w:fldChar w:fldCharType="separate"/>
      </w:r>
      <w:r w:rsidR="37C08288" w:rsidRPr="0D8D2513">
        <w:rPr>
          <w:noProof/>
        </w:rPr>
        <w:t>1</w:t>
      </w:r>
      <w:r w:rsidR="00C910AE">
        <w:fldChar w:fldCharType="end"/>
      </w:r>
      <w:r w:rsidRPr="0D8D2513">
        <w:rPr>
          <w:color w:val="auto"/>
        </w:rPr>
        <w:t xml:space="preserve">. Benefits associated with each policy </w:t>
      </w:r>
      <w:r w:rsidR="00C0566A" w:rsidRPr="0D8D2513">
        <w:rPr>
          <w:color w:val="auto"/>
        </w:rPr>
        <w:t>option.</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980"/>
        <w:gridCol w:w="2586"/>
        <w:gridCol w:w="2586"/>
        <w:gridCol w:w="2584"/>
      </w:tblGrid>
      <w:tr w:rsidR="00704A21" w14:paraId="142F94CC" w14:textId="08BEB4B2" w:rsidTr="2A0F0431">
        <w:tc>
          <w:tcPr>
            <w:tcW w:w="1017" w:type="pct"/>
          </w:tcPr>
          <w:p w14:paraId="7758DDC7" w14:textId="77777777" w:rsidR="00704A21" w:rsidRDefault="00704A21" w:rsidP="00874ABD">
            <w:pPr>
              <w:spacing w:line="276" w:lineRule="auto"/>
              <w:rPr>
                <w:b/>
                <w:bCs/>
              </w:rPr>
            </w:pPr>
          </w:p>
        </w:tc>
        <w:tc>
          <w:tcPr>
            <w:tcW w:w="1328" w:type="pct"/>
          </w:tcPr>
          <w:p w14:paraId="19059A46" w14:textId="0F7D016B" w:rsidR="00704A21" w:rsidRPr="00417D72" w:rsidRDefault="00704A21" w:rsidP="00874ABD">
            <w:pPr>
              <w:spacing w:line="276" w:lineRule="auto"/>
              <w:rPr>
                <w:b/>
                <w:bCs/>
              </w:rPr>
            </w:pPr>
            <w:r>
              <w:rPr>
                <w:b/>
                <w:bCs/>
              </w:rPr>
              <w:t>Public</w:t>
            </w:r>
          </w:p>
        </w:tc>
        <w:tc>
          <w:tcPr>
            <w:tcW w:w="1328" w:type="pct"/>
          </w:tcPr>
          <w:p w14:paraId="06FC32A5" w14:textId="6A79E8F6" w:rsidR="00704A21" w:rsidRPr="00704A21" w:rsidRDefault="00704A21" w:rsidP="00874ABD">
            <w:pPr>
              <w:spacing w:line="276" w:lineRule="auto"/>
              <w:rPr>
                <w:b/>
                <w:bCs/>
              </w:rPr>
            </w:pPr>
            <w:r w:rsidRPr="00704A21">
              <w:rPr>
                <w:b/>
                <w:bCs/>
              </w:rPr>
              <w:t>Private sector</w:t>
            </w:r>
          </w:p>
        </w:tc>
        <w:tc>
          <w:tcPr>
            <w:tcW w:w="1327" w:type="pct"/>
          </w:tcPr>
          <w:p w14:paraId="1726D048" w14:textId="7DF20BF4" w:rsidR="00704A21" w:rsidRPr="00704A21" w:rsidRDefault="00704A21" w:rsidP="00874ABD">
            <w:pPr>
              <w:spacing w:line="276" w:lineRule="auto"/>
              <w:rPr>
                <w:b/>
                <w:bCs/>
              </w:rPr>
            </w:pPr>
            <w:r w:rsidRPr="00704A21">
              <w:rPr>
                <w:b/>
                <w:bCs/>
              </w:rPr>
              <w:t>Public sector</w:t>
            </w:r>
          </w:p>
        </w:tc>
      </w:tr>
      <w:tr w:rsidR="00704A21" w14:paraId="4728D198" w14:textId="0321F128" w:rsidTr="2A0F0431">
        <w:tc>
          <w:tcPr>
            <w:tcW w:w="1017" w:type="pct"/>
          </w:tcPr>
          <w:p w14:paraId="6C2AFDA4" w14:textId="46A6574E" w:rsidR="00704A21" w:rsidRPr="00762114" w:rsidRDefault="00704A21" w:rsidP="00874ABD">
            <w:pPr>
              <w:spacing w:line="276" w:lineRule="auto"/>
              <w:rPr>
                <w:b/>
                <w:bCs/>
              </w:rPr>
            </w:pPr>
            <w:r w:rsidRPr="00762114">
              <w:rPr>
                <w:b/>
                <w:bCs/>
              </w:rPr>
              <w:t>Option 1 (do nothing)</w:t>
            </w:r>
          </w:p>
        </w:tc>
        <w:tc>
          <w:tcPr>
            <w:tcW w:w="1328" w:type="pct"/>
          </w:tcPr>
          <w:p w14:paraId="006C1A13" w14:textId="77796EAD" w:rsidR="00704A21" w:rsidRDefault="00893E3E" w:rsidP="00874ABD">
            <w:pPr>
              <w:spacing w:line="276" w:lineRule="auto"/>
            </w:pPr>
            <w:r>
              <w:t>..</w:t>
            </w:r>
          </w:p>
        </w:tc>
        <w:tc>
          <w:tcPr>
            <w:tcW w:w="1328" w:type="pct"/>
          </w:tcPr>
          <w:p w14:paraId="4E30F4B6" w14:textId="16F5906D" w:rsidR="00704A21" w:rsidRDefault="00893E3E" w:rsidP="00874ABD">
            <w:pPr>
              <w:spacing w:line="276" w:lineRule="auto"/>
            </w:pPr>
            <w:r>
              <w:t>..</w:t>
            </w:r>
          </w:p>
        </w:tc>
        <w:tc>
          <w:tcPr>
            <w:tcW w:w="1327" w:type="pct"/>
          </w:tcPr>
          <w:p w14:paraId="482D3604" w14:textId="2FEB6CB4" w:rsidR="00704A21" w:rsidRDefault="00893E3E" w:rsidP="00874ABD">
            <w:pPr>
              <w:spacing w:line="276" w:lineRule="auto"/>
            </w:pPr>
            <w:r>
              <w:t>..</w:t>
            </w:r>
          </w:p>
        </w:tc>
      </w:tr>
      <w:tr w:rsidR="00704A21" w14:paraId="5255C58F" w14:textId="169BE69B" w:rsidTr="2A0F0431">
        <w:tc>
          <w:tcPr>
            <w:tcW w:w="1017" w:type="pct"/>
          </w:tcPr>
          <w:p w14:paraId="08649752" w14:textId="05675FDA" w:rsidR="001F60D8" w:rsidRPr="001F60D8" w:rsidRDefault="00704A21" w:rsidP="042E2FE5">
            <w:pPr>
              <w:spacing w:line="276" w:lineRule="auto"/>
              <w:rPr>
                <w:i/>
                <w:iCs/>
              </w:rPr>
            </w:pPr>
            <w:r w:rsidRPr="00762114">
              <w:rPr>
                <w:b/>
                <w:bCs/>
              </w:rPr>
              <w:t>Option 2</w:t>
            </w:r>
          </w:p>
        </w:tc>
        <w:tc>
          <w:tcPr>
            <w:tcW w:w="1328" w:type="pct"/>
          </w:tcPr>
          <w:p w14:paraId="1B2E1C5D" w14:textId="47F24342" w:rsidR="00704A21" w:rsidRDefault="00E52869" w:rsidP="00874ABD">
            <w:pPr>
              <w:spacing w:line="276" w:lineRule="auto"/>
            </w:pPr>
            <w:r>
              <w:t xml:space="preserve">+ </w:t>
            </w:r>
            <w:r w:rsidR="004C0FC0">
              <w:t>Reduced</w:t>
            </w:r>
            <w:r w:rsidR="001D1582">
              <w:t xml:space="preserve"> </w:t>
            </w:r>
            <w:r w:rsidR="00101D44">
              <w:t>prevalence</w:t>
            </w:r>
            <w:r w:rsidR="001D1582">
              <w:t xml:space="preserve"> of NTDs</w:t>
            </w:r>
          </w:p>
          <w:p w14:paraId="34F20CFD" w14:textId="2A7CE28A" w:rsidR="00101D44" w:rsidRDefault="237416D9" w:rsidP="00874ABD">
            <w:pPr>
              <w:spacing w:line="276" w:lineRule="auto"/>
            </w:pPr>
            <w:r>
              <w:t>+ Reduced severity of NTDs</w:t>
            </w:r>
            <w:r w:rsidR="72DEEF83">
              <w:t xml:space="preserve"> that do occur</w:t>
            </w:r>
            <w:r>
              <w:t>*</w:t>
            </w:r>
          </w:p>
          <w:p w14:paraId="22AB09C4" w14:textId="02F9C8CB" w:rsidR="00A42464" w:rsidRDefault="00A42464" w:rsidP="00874ABD">
            <w:pPr>
              <w:spacing w:line="276" w:lineRule="auto"/>
            </w:pPr>
            <w:r>
              <w:t>+ Red</w:t>
            </w:r>
            <w:r w:rsidR="006779E8">
              <w:t>u</w:t>
            </w:r>
            <w:r>
              <w:t>ctions in B9 an</w:t>
            </w:r>
            <w:r w:rsidR="0094054D">
              <w:t>aemia*</w:t>
            </w:r>
          </w:p>
          <w:p w14:paraId="5174C7B8" w14:textId="77777777" w:rsidR="0094054D" w:rsidRDefault="00E52869" w:rsidP="00874ABD">
            <w:pPr>
              <w:spacing w:line="276" w:lineRule="auto"/>
            </w:pPr>
            <w:r>
              <w:t>+ Labour participation</w:t>
            </w:r>
          </w:p>
          <w:p w14:paraId="44FC657E" w14:textId="77777777" w:rsidR="00BB7D05" w:rsidRDefault="00BB7D05" w:rsidP="00874ABD">
            <w:pPr>
              <w:spacing w:line="276" w:lineRule="auto"/>
            </w:pPr>
            <w:r>
              <w:t>+ Social care cost savings*</w:t>
            </w:r>
          </w:p>
          <w:p w14:paraId="03FD939B" w14:textId="127907FF" w:rsidR="003A74BD" w:rsidRDefault="003A74BD" w:rsidP="00874ABD">
            <w:pPr>
              <w:spacing w:line="276" w:lineRule="auto"/>
            </w:pPr>
            <w:r>
              <w:t>+ Reduction in psychological harm and stress caused by NTD-affected miscarriages, stillbirths, terminations*</w:t>
            </w:r>
          </w:p>
        </w:tc>
        <w:tc>
          <w:tcPr>
            <w:tcW w:w="1328" w:type="pct"/>
          </w:tcPr>
          <w:p w14:paraId="32145D8D" w14:textId="57D8452C" w:rsidR="00704A21" w:rsidRDefault="00101D44" w:rsidP="00874ABD">
            <w:pPr>
              <w:spacing w:line="276" w:lineRule="auto"/>
            </w:pPr>
            <w:r>
              <w:t xml:space="preserve">+ Increased </w:t>
            </w:r>
            <w:r w:rsidR="00A42464">
              <w:t>sales for folic acid producers</w:t>
            </w:r>
            <w:r w:rsidR="0094054D">
              <w:t>*</w:t>
            </w:r>
          </w:p>
        </w:tc>
        <w:tc>
          <w:tcPr>
            <w:tcW w:w="1327" w:type="pct"/>
          </w:tcPr>
          <w:p w14:paraId="453CCE48" w14:textId="5E65FD52" w:rsidR="00704A21" w:rsidRDefault="001614E9" w:rsidP="00874ABD">
            <w:pPr>
              <w:spacing w:line="276" w:lineRule="auto"/>
            </w:pPr>
            <w:r>
              <w:t>+ Reduced NHS costs</w:t>
            </w:r>
          </w:p>
          <w:p w14:paraId="75EA957B" w14:textId="5B8F7CC3" w:rsidR="001614E9" w:rsidRDefault="001614E9" w:rsidP="00874ABD">
            <w:pPr>
              <w:spacing w:line="276" w:lineRule="auto"/>
            </w:pPr>
            <w:r>
              <w:t>+ Reduced social care costs</w:t>
            </w:r>
          </w:p>
        </w:tc>
      </w:tr>
      <w:tr w:rsidR="001614E9" w14:paraId="0E2CD3F9" w14:textId="326403F2" w:rsidTr="2A0F0431">
        <w:tc>
          <w:tcPr>
            <w:tcW w:w="1017" w:type="pct"/>
          </w:tcPr>
          <w:p w14:paraId="27AF26C6" w14:textId="03B8EFBD" w:rsidR="001614E9" w:rsidRPr="001F60D8" w:rsidRDefault="001614E9" w:rsidP="042E2FE5">
            <w:pPr>
              <w:spacing w:line="276" w:lineRule="auto"/>
              <w:rPr>
                <w:i/>
                <w:iCs/>
              </w:rPr>
            </w:pPr>
            <w:r w:rsidRPr="00762114">
              <w:rPr>
                <w:b/>
                <w:bCs/>
              </w:rPr>
              <w:t>Option 3</w:t>
            </w:r>
          </w:p>
        </w:tc>
        <w:tc>
          <w:tcPr>
            <w:tcW w:w="1328" w:type="pct"/>
          </w:tcPr>
          <w:p w14:paraId="3F88E8E6" w14:textId="021F4A0F" w:rsidR="001614E9" w:rsidRDefault="001614E9" w:rsidP="001614E9">
            <w:pPr>
              <w:spacing w:line="276" w:lineRule="auto"/>
            </w:pPr>
          </w:p>
        </w:tc>
        <w:tc>
          <w:tcPr>
            <w:tcW w:w="1328" w:type="pct"/>
          </w:tcPr>
          <w:p w14:paraId="025B9341" w14:textId="7C948A30" w:rsidR="001614E9" w:rsidRDefault="001614E9" w:rsidP="001614E9">
            <w:pPr>
              <w:spacing w:line="276" w:lineRule="auto"/>
            </w:pPr>
            <w:r>
              <w:t xml:space="preserve">+ </w:t>
            </w:r>
            <w:r w:rsidR="00834AAE">
              <w:t>Increased legal clarity</w:t>
            </w:r>
            <w:r w:rsidR="008C5F55">
              <w:t>*</w:t>
            </w:r>
          </w:p>
        </w:tc>
        <w:tc>
          <w:tcPr>
            <w:tcW w:w="1327" w:type="pct"/>
          </w:tcPr>
          <w:p w14:paraId="41F83640" w14:textId="5921D5F8" w:rsidR="001614E9" w:rsidRDefault="001614E9" w:rsidP="001614E9">
            <w:pPr>
              <w:spacing w:line="276" w:lineRule="auto"/>
            </w:pPr>
          </w:p>
        </w:tc>
      </w:tr>
      <w:tr w:rsidR="00834AAE" w14:paraId="0CCFB146" w14:textId="77777777" w:rsidTr="2A0F0431">
        <w:tc>
          <w:tcPr>
            <w:tcW w:w="1017" w:type="pct"/>
          </w:tcPr>
          <w:p w14:paraId="002309BA" w14:textId="56887A9E" w:rsidR="00834AAE" w:rsidRPr="00762114" w:rsidRDefault="31046668" w:rsidP="00834AAE">
            <w:pPr>
              <w:spacing w:line="276" w:lineRule="auto"/>
              <w:rPr>
                <w:b/>
                <w:bCs/>
              </w:rPr>
            </w:pPr>
            <w:r w:rsidRPr="595AB009">
              <w:rPr>
                <w:b/>
                <w:bCs/>
              </w:rPr>
              <w:t>Option 4</w:t>
            </w:r>
          </w:p>
        </w:tc>
        <w:tc>
          <w:tcPr>
            <w:tcW w:w="1328" w:type="pct"/>
          </w:tcPr>
          <w:p w14:paraId="5B38D473" w14:textId="0A85E491" w:rsidR="00834AAE" w:rsidRDefault="00834AAE" w:rsidP="00834AAE">
            <w:pPr>
              <w:spacing w:line="276" w:lineRule="auto"/>
            </w:pPr>
          </w:p>
        </w:tc>
        <w:tc>
          <w:tcPr>
            <w:tcW w:w="1328" w:type="pct"/>
          </w:tcPr>
          <w:p w14:paraId="2E3B1C3E" w14:textId="0F8A161C" w:rsidR="00834AAE" w:rsidRDefault="00834AAE" w:rsidP="00834AAE">
            <w:pPr>
              <w:spacing w:line="276" w:lineRule="auto"/>
            </w:pPr>
            <w:r>
              <w:t>+ Increased legal clarity</w:t>
            </w:r>
            <w:r w:rsidR="008C5F55">
              <w:t>*</w:t>
            </w:r>
          </w:p>
        </w:tc>
        <w:tc>
          <w:tcPr>
            <w:tcW w:w="1327" w:type="pct"/>
          </w:tcPr>
          <w:p w14:paraId="2CB73DEE" w14:textId="4659FD88" w:rsidR="00834AAE" w:rsidRDefault="00834AAE" w:rsidP="00834AAE">
            <w:pPr>
              <w:spacing w:line="276" w:lineRule="auto"/>
            </w:pPr>
          </w:p>
        </w:tc>
      </w:tr>
      <w:tr w:rsidR="00A65BDC" w14:paraId="3BFC0079" w14:textId="77777777" w:rsidTr="2A0F0431">
        <w:tc>
          <w:tcPr>
            <w:tcW w:w="1017" w:type="pct"/>
            <w:tcBorders>
              <w:bottom w:val="single" w:sz="4" w:space="0" w:color="auto"/>
            </w:tcBorders>
          </w:tcPr>
          <w:p w14:paraId="1165CB56" w14:textId="2122FD00" w:rsidR="001F60D8" w:rsidRPr="001F60D8" w:rsidRDefault="00060C85" w:rsidP="595AB009">
            <w:pPr>
              <w:spacing w:line="276" w:lineRule="auto"/>
              <w:rPr>
                <w:i/>
                <w:iCs/>
              </w:rPr>
            </w:pPr>
            <w:r w:rsidRPr="595AB009">
              <w:rPr>
                <w:b/>
                <w:bCs/>
              </w:rPr>
              <w:t>Option 5</w:t>
            </w:r>
            <w:r w:rsidR="482C223B" w:rsidRPr="595AB009">
              <w:rPr>
                <w:b/>
                <w:bCs/>
              </w:rPr>
              <w:t xml:space="preserve"> (</w:t>
            </w:r>
            <w:r w:rsidR="00893E3E">
              <w:rPr>
                <w:b/>
                <w:bCs/>
              </w:rPr>
              <w:t xml:space="preserve">agreed </w:t>
            </w:r>
            <w:r w:rsidR="482C223B" w:rsidRPr="595AB009">
              <w:rPr>
                <w:b/>
                <w:bCs/>
              </w:rPr>
              <w:t>option)</w:t>
            </w:r>
          </w:p>
        </w:tc>
        <w:tc>
          <w:tcPr>
            <w:tcW w:w="1328" w:type="pct"/>
            <w:tcBorders>
              <w:bottom w:val="single" w:sz="4" w:space="0" w:color="auto"/>
            </w:tcBorders>
          </w:tcPr>
          <w:p w14:paraId="2CB7EAE6" w14:textId="5CBB8079" w:rsidR="00A65BDC" w:rsidRDefault="0ACBE217" w:rsidP="595AB009">
            <w:pPr>
              <w:spacing w:line="276" w:lineRule="auto"/>
            </w:pPr>
            <w:r>
              <w:t xml:space="preserve">+ </w:t>
            </w:r>
            <w:r w:rsidR="00291EF9">
              <w:t>Increased choice for consumers</w:t>
            </w:r>
            <w:r w:rsidR="00D20EFC">
              <w:t xml:space="preserve"> </w:t>
            </w:r>
            <w:r w:rsidR="00A64B6F">
              <w:t xml:space="preserve">compared to options 2-4 </w:t>
            </w:r>
            <w:r w:rsidR="00D20EFC">
              <w:t>(fortified vs. non-fortified)</w:t>
            </w:r>
            <w:r w:rsidR="00565286">
              <w:t>*</w:t>
            </w:r>
          </w:p>
          <w:p w14:paraId="09364CF4" w14:textId="7EF72558" w:rsidR="00A65BDC" w:rsidRDefault="00A65BDC" w:rsidP="595AB009">
            <w:pPr>
              <w:spacing w:line="276" w:lineRule="auto"/>
            </w:pPr>
          </w:p>
        </w:tc>
        <w:tc>
          <w:tcPr>
            <w:tcW w:w="1328" w:type="pct"/>
            <w:tcBorders>
              <w:bottom w:val="single" w:sz="4" w:space="0" w:color="auto"/>
            </w:tcBorders>
          </w:tcPr>
          <w:p w14:paraId="25F81778" w14:textId="131E4535" w:rsidR="00A65BDC" w:rsidRDefault="00060C85" w:rsidP="00A65BDC">
            <w:pPr>
              <w:spacing w:line="276" w:lineRule="auto"/>
            </w:pPr>
            <w:r>
              <w:t xml:space="preserve">+ Reduced fortification costs for </w:t>
            </w:r>
            <w:r w:rsidR="00615F20">
              <w:t>small-scale millers</w:t>
            </w:r>
          </w:p>
          <w:p w14:paraId="0332F4A7" w14:textId="7CEF3B4A" w:rsidR="00A65BDC" w:rsidRDefault="3427AA84" w:rsidP="595AB009">
            <w:pPr>
              <w:spacing w:line="276" w:lineRule="auto"/>
            </w:pPr>
            <w:r>
              <w:t xml:space="preserve">+ Support </w:t>
            </w:r>
            <w:r w:rsidR="00680D23">
              <w:t xml:space="preserve">viability for </w:t>
            </w:r>
            <w:r>
              <w:t xml:space="preserve">small </w:t>
            </w:r>
            <w:r w:rsidR="00680D23">
              <w:t>millers</w:t>
            </w:r>
            <w:r w:rsidR="005F35B9">
              <w:t>*</w:t>
            </w:r>
          </w:p>
        </w:tc>
        <w:tc>
          <w:tcPr>
            <w:tcW w:w="1327" w:type="pct"/>
            <w:tcBorders>
              <w:bottom w:val="single" w:sz="4" w:space="0" w:color="auto"/>
            </w:tcBorders>
          </w:tcPr>
          <w:p w14:paraId="54E04D22" w14:textId="0FFBEAD6" w:rsidR="00A65BDC" w:rsidRDefault="00A65BDC" w:rsidP="00A65BDC">
            <w:pPr>
              <w:spacing w:line="276" w:lineRule="auto"/>
            </w:pPr>
          </w:p>
        </w:tc>
      </w:tr>
      <w:tr w:rsidR="00565286" w14:paraId="66EE4156" w14:textId="77777777" w:rsidTr="2A0F0431">
        <w:tc>
          <w:tcPr>
            <w:tcW w:w="5000" w:type="pct"/>
            <w:gridSpan w:val="4"/>
            <w:tcBorders>
              <w:left w:val="nil"/>
              <w:bottom w:val="nil"/>
              <w:right w:val="nil"/>
            </w:tcBorders>
          </w:tcPr>
          <w:p w14:paraId="4E4923C6" w14:textId="5F8490D9" w:rsidR="00565286" w:rsidRDefault="00565286" w:rsidP="00A65BDC">
            <w:pPr>
              <w:spacing w:line="276" w:lineRule="auto"/>
            </w:pPr>
            <w:r w:rsidRPr="0070531A">
              <w:rPr>
                <w:b/>
                <w:bCs/>
              </w:rPr>
              <w:t>* Unmonetised benefit</w:t>
            </w:r>
            <w:r w:rsidR="003239D5">
              <w:t xml:space="preserve">; this could be due to a lack of </w:t>
            </w:r>
            <w:r w:rsidR="0033107E">
              <w:t>(S</w:t>
            </w:r>
            <w:r w:rsidR="00CC16E8">
              <w:t xml:space="preserve">cottish, UK, or international) </w:t>
            </w:r>
            <w:r w:rsidR="003239D5">
              <w:t xml:space="preserve">data </w:t>
            </w:r>
            <w:r w:rsidR="00CC16E8">
              <w:t>or evidence,</w:t>
            </w:r>
            <w:r w:rsidR="00DC2CE4">
              <w:t xml:space="preserve"> or</w:t>
            </w:r>
            <w:r w:rsidR="00CC16E8">
              <w:t xml:space="preserve"> due to the difficulty in monetising it.</w:t>
            </w:r>
          </w:p>
        </w:tc>
      </w:tr>
    </w:tbl>
    <w:p w14:paraId="1AA7FDF8" w14:textId="77777777" w:rsidR="0091424D" w:rsidRDefault="68898AE8" w:rsidP="00DA0433">
      <w:pPr>
        <w:pStyle w:val="Heading2"/>
      </w:pPr>
      <w:bookmarkStart w:id="42" w:name="_Toc141427919"/>
      <w:bookmarkStart w:id="43" w:name="_Toc141428002"/>
      <w:r w:rsidRPr="3C6AB4A7">
        <w:t>Costs</w:t>
      </w:r>
      <w:bookmarkEnd w:id="42"/>
      <w:bookmarkEnd w:id="43"/>
    </w:p>
    <w:p w14:paraId="5BE02F0E" w14:textId="31A9B54F" w:rsidR="004F5665" w:rsidRDefault="004F5665" w:rsidP="004F5665">
      <w:pPr>
        <w:spacing w:line="276" w:lineRule="auto"/>
      </w:pPr>
      <w:r>
        <w:t>The majority of the (monetised) costs stem from the inclusion of folic acid fortification in Option 2. These costs are assumed to be primarily in the form of industry costs: relabelling, package waste, fortification and familiarisation costs. Other costs include regulatory clarity (Options 3-5) and reduced fortification costs for small millers (Option 5).</w:t>
      </w:r>
    </w:p>
    <w:p w14:paraId="05925809" w14:textId="77777777" w:rsidR="004F5665" w:rsidRPr="004F5665" w:rsidRDefault="004F5665" w:rsidP="00A64B6F"/>
    <w:p w14:paraId="0A0AD1DF" w14:textId="2F752DBA" w:rsidR="008C669F" w:rsidRPr="00680D23" w:rsidRDefault="008C669F" w:rsidP="008C669F">
      <w:pPr>
        <w:spacing w:line="276" w:lineRule="auto"/>
        <w:rPr>
          <w:b/>
          <w:bCs/>
        </w:rPr>
      </w:pPr>
      <w:r w:rsidRPr="00680D23">
        <w:rPr>
          <w:b/>
          <w:bCs/>
        </w:rPr>
        <w:t xml:space="preserve">To avoid duplication, each </w:t>
      </w:r>
      <w:r>
        <w:rPr>
          <w:b/>
          <w:bCs/>
        </w:rPr>
        <w:t>cost</w:t>
      </w:r>
      <w:r w:rsidRPr="00680D23">
        <w:rPr>
          <w:b/>
          <w:bCs/>
        </w:rPr>
        <w:t xml:space="preserve"> listed here is </w:t>
      </w:r>
      <w:r w:rsidRPr="00A64B6F">
        <w:rPr>
          <w:b/>
          <w:bCs/>
          <w:u w:val="single"/>
        </w:rPr>
        <w:t>in addition</w:t>
      </w:r>
      <w:r w:rsidRPr="00680D23">
        <w:rPr>
          <w:b/>
          <w:bCs/>
        </w:rPr>
        <w:t xml:space="preserve"> to the </w:t>
      </w:r>
      <w:r>
        <w:rPr>
          <w:b/>
          <w:bCs/>
        </w:rPr>
        <w:t>costs</w:t>
      </w:r>
      <w:r w:rsidRPr="00680D23">
        <w:rPr>
          <w:b/>
          <w:bCs/>
        </w:rPr>
        <w:t xml:space="preserve"> from the previous option(s).</w:t>
      </w:r>
    </w:p>
    <w:p w14:paraId="7DEBF7C5" w14:textId="77777777" w:rsidR="008C669F" w:rsidRPr="008C669F" w:rsidRDefault="008C669F" w:rsidP="00A64B6F"/>
    <w:p w14:paraId="66EABF19" w14:textId="6D1BD23C" w:rsidR="00517A08" w:rsidRDefault="5BA03385" w:rsidP="0D8D2513">
      <w:pPr>
        <w:pStyle w:val="Caption"/>
        <w:keepNext/>
        <w:rPr>
          <w:color w:val="auto"/>
        </w:rPr>
      </w:pPr>
      <w:r w:rsidRPr="0D8D2513">
        <w:rPr>
          <w:color w:val="auto"/>
        </w:rPr>
        <w:t xml:space="preserve">Table </w:t>
      </w:r>
      <w:r w:rsidR="00517A08">
        <w:fldChar w:fldCharType="begin"/>
      </w:r>
      <w:r w:rsidR="00517A08">
        <w:instrText xml:space="preserve"> SEQ Table \* ARABIC </w:instrText>
      </w:r>
      <w:r w:rsidR="00517A08">
        <w:fldChar w:fldCharType="separate"/>
      </w:r>
      <w:r w:rsidR="37C08288" w:rsidRPr="0D8D2513">
        <w:rPr>
          <w:noProof/>
        </w:rPr>
        <w:t>2</w:t>
      </w:r>
      <w:r w:rsidR="00517A08">
        <w:fldChar w:fldCharType="end"/>
      </w:r>
      <w:r w:rsidRPr="0D8D2513">
        <w:rPr>
          <w:color w:val="auto"/>
        </w:rPr>
        <w:t xml:space="preserve">. Costs associated with each policy </w:t>
      </w:r>
      <w:r w:rsidR="00C0566A" w:rsidRPr="0D8D2513">
        <w:rPr>
          <w:color w:val="auto"/>
        </w:rPr>
        <w:t>option.</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980"/>
        <w:gridCol w:w="2586"/>
        <w:gridCol w:w="2586"/>
        <w:gridCol w:w="2584"/>
      </w:tblGrid>
      <w:tr w:rsidR="00893E3E" w14:paraId="711E7B25" w14:textId="77777777" w:rsidTr="00CB45F6">
        <w:tc>
          <w:tcPr>
            <w:tcW w:w="1017" w:type="pct"/>
          </w:tcPr>
          <w:p w14:paraId="3C3F6F0E" w14:textId="77777777" w:rsidR="00893E3E" w:rsidRDefault="00893E3E" w:rsidP="00CB45F6">
            <w:pPr>
              <w:spacing w:line="276" w:lineRule="auto"/>
              <w:rPr>
                <w:b/>
                <w:bCs/>
              </w:rPr>
            </w:pPr>
          </w:p>
        </w:tc>
        <w:tc>
          <w:tcPr>
            <w:tcW w:w="1328" w:type="pct"/>
          </w:tcPr>
          <w:p w14:paraId="689451FD" w14:textId="77777777" w:rsidR="00893E3E" w:rsidRPr="00417D72" w:rsidRDefault="00893E3E" w:rsidP="00CB45F6">
            <w:pPr>
              <w:spacing w:line="276" w:lineRule="auto"/>
              <w:rPr>
                <w:b/>
                <w:bCs/>
              </w:rPr>
            </w:pPr>
            <w:r>
              <w:rPr>
                <w:b/>
                <w:bCs/>
              </w:rPr>
              <w:t>Public</w:t>
            </w:r>
          </w:p>
        </w:tc>
        <w:tc>
          <w:tcPr>
            <w:tcW w:w="1328" w:type="pct"/>
          </w:tcPr>
          <w:p w14:paraId="1D1A3D6A" w14:textId="77777777" w:rsidR="00893E3E" w:rsidRPr="00704A21" w:rsidRDefault="00893E3E" w:rsidP="00CB45F6">
            <w:pPr>
              <w:spacing w:line="276" w:lineRule="auto"/>
              <w:rPr>
                <w:b/>
                <w:bCs/>
              </w:rPr>
            </w:pPr>
            <w:r w:rsidRPr="00704A21">
              <w:rPr>
                <w:b/>
                <w:bCs/>
              </w:rPr>
              <w:t>Private sector</w:t>
            </w:r>
          </w:p>
        </w:tc>
        <w:tc>
          <w:tcPr>
            <w:tcW w:w="1327" w:type="pct"/>
          </w:tcPr>
          <w:p w14:paraId="12B2D192" w14:textId="77777777" w:rsidR="00893E3E" w:rsidRPr="00704A21" w:rsidRDefault="00893E3E" w:rsidP="00CB45F6">
            <w:pPr>
              <w:spacing w:line="276" w:lineRule="auto"/>
              <w:rPr>
                <w:b/>
                <w:bCs/>
              </w:rPr>
            </w:pPr>
            <w:r w:rsidRPr="00704A21">
              <w:rPr>
                <w:b/>
                <w:bCs/>
              </w:rPr>
              <w:t>Public sector</w:t>
            </w:r>
          </w:p>
        </w:tc>
      </w:tr>
      <w:tr w:rsidR="00893E3E" w14:paraId="02C6E55E" w14:textId="77777777" w:rsidTr="00CB45F6">
        <w:tc>
          <w:tcPr>
            <w:tcW w:w="1017" w:type="pct"/>
          </w:tcPr>
          <w:p w14:paraId="3967219E" w14:textId="77777777" w:rsidR="00893E3E" w:rsidRPr="00762114" w:rsidRDefault="00893E3E" w:rsidP="00CB45F6">
            <w:pPr>
              <w:spacing w:line="276" w:lineRule="auto"/>
              <w:rPr>
                <w:b/>
                <w:bCs/>
              </w:rPr>
            </w:pPr>
            <w:r w:rsidRPr="00762114">
              <w:rPr>
                <w:b/>
                <w:bCs/>
              </w:rPr>
              <w:t>Option 1 (do nothing)</w:t>
            </w:r>
          </w:p>
        </w:tc>
        <w:tc>
          <w:tcPr>
            <w:tcW w:w="1328" w:type="pct"/>
          </w:tcPr>
          <w:p w14:paraId="448188E2" w14:textId="77777777" w:rsidR="00893E3E" w:rsidRDefault="00893E3E" w:rsidP="00CB45F6">
            <w:pPr>
              <w:spacing w:line="276" w:lineRule="auto"/>
            </w:pPr>
            <w:r>
              <w:t>..</w:t>
            </w:r>
          </w:p>
        </w:tc>
        <w:tc>
          <w:tcPr>
            <w:tcW w:w="1328" w:type="pct"/>
          </w:tcPr>
          <w:p w14:paraId="386D21D1" w14:textId="77777777" w:rsidR="00893E3E" w:rsidRDefault="00893E3E" w:rsidP="00CB45F6">
            <w:pPr>
              <w:spacing w:line="276" w:lineRule="auto"/>
            </w:pPr>
            <w:r>
              <w:t>..</w:t>
            </w:r>
          </w:p>
        </w:tc>
        <w:tc>
          <w:tcPr>
            <w:tcW w:w="1327" w:type="pct"/>
          </w:tcPr>
          <w:p w14:paraId="4DB70EFD" w14:textId="77777777" w:rsidR="00893E3E" w:rsidRDefault="00893E3E" w:rsidP="00CB45F6">
            <w:pPr>
              <w:spacing w:line="276" w:lineRule="auto"/>
            </w:pPr>
            <w:r>
              <w:t>..</w:t>
            </w:r>
          </w:p>
        </w:tc>
      </w:tr>
      <w:tr w:rsidR="00B0136E" w14:paraId="55B7E49B" w14:textId="77777777" w:rsidTr="00CB45F6">
        <w:tc>
          <w:tcPr>
            <w:tcW w:w="1017" w:type="pct"/>
          </w:tcPr>
          <w:p w14:paraId="2359F861" w14:textId="77777777" w:rsidR="00B0136E" w:rsidRPr="001F60D8" w:rsidRDefault="00B0136E" w:rsidP="00B0136E">
            <w:pPr>
              <w:spacing w:line="276" w:lineRule="auto"/>
              <w:rPr>
                <w:i/>
                <w:iCs/>
              </w:rPr>
            </w:pPr>
            <w:r w:rsidRPr="00762114">
              <w:rPr>
                <w:b/>
                <w:bCs/>
              </w:rPr>
              <w:t>Option 2</w:t>
            </w:r>
          </w:p>
        </w:tc>
        <w:tc>
          <w:tcPr>
            <w:tcW w:w="1328" w:type="pct"/>
          </w:tcPr>
          <w:p w14:paraId="79ABB621" w14:textId="77777777" w:rsidR="00B0136E" w:rsidRDefault="00B0136E" w:rsidP="00B0136E">
            <w:pPr>
              <w:spacing w:line="276" w:lineRule="auto"/>
            </w:pPr>
            <w:r>
              <w:t xml:space="preserve">- Adverse health impacts for </w:t>
            </w:r>
            <w:r w:rsidR="00274389">
              <w:t>those</w:t>
            </w:r>
            <w:r>
              <w:t xml:space="preserve"> who now exceed the recommended folic acid intake*</w:t>
            </w:r>
          </w:p>
          <w:p w14:paraId="4C380AB0" w14:textId="0BC222F9" w:rsidR="00C00827" w:rsidRDefault="00C00827" w:rsidP="00B0136E">
            <w:pPr>
              <w:spacing w:line="276" w:lineRule="auto"/>
            </w:pPr>
            <w:r>
              <w:t xml:space="preserve">- </w:t>
            </w:r>
            <w:r w:rsidR="00F751D3">
              <w:t>Reduced availability or choice of non-fortified NWWF for consumers*</w:t>
            </w:r>
          </w:p>
        </w:tc>
        <w:tc>
          <w:tcPr>
            <w:tcW w:w="1328" w:type="pct"/>
          </w:tcPr>
          <w:p w14:paraId="6DF8C3E3" w14:textId="77777777" w:rsidR="00B0136E" w:rsidRDefault="00B0136E" w:rsidP="00B0136E">
            <w:pPr>
              <w:spacing w:line="276" w:lineRule="auto"/>
            </w:pPr>
            <w:r>
              <w:t>- Increased fortification costs to millers</w:t>
            </w:r>
          </w:p>
          <w:p w14:paraId="7B7FD73E" w14:textId="77777777" w:rsidR="00B0136E" w:rsidRDefault="00B0136E" w:rsidP="00B0136E">
            <w:pPr>
              <w:spacing w:line="276" w:lineRule="auto"/>
            </w:pPr>
            <w:r>
              <w:t>- Initial implementation costs associated with revised labelling and package waste costs</w:t>
            </w:r>
          </w:p>
          <w:p w14:paraId="01A51C68" w14:textId="2C102BD8" w:rsidR="009E0B0B" w:rsidRDefault="009E0B0B" w:rsidP="00B0136E">
            <w:pPr>
              <w:spacing w:line="276" w:lineRule="auto"/>
            </w:pPr>
            <w:r>
              <w:t xml:space="preserve">- Loss in profits due to </w:t>
            </w:r>
            <w:r w:rsidR="00131A48">
              <w:t xml:space="preserve">some consumers preferring non-fortified </w:t>
            </w:r>
            <w:r w:rsidR="00F751D3">
              <w:t>NWWF</w:t>
            </w:r>
            <w:r w:rsidR="00131A48">
              <w:t>*</w:t>
            </w:r>
          </w:p>
          <w:p w14:paraId="34C72FC0" w14:textId="6ACC6631" w:rsidR="002D283F" w:rsidRDefault="002D283F" w:rsidP="00B0136E">
            <w:pPr>
              <w:spacing w:line="276" w:lineRule="auto"/>
            </w:pPr>
            <w:r>
              <w:t xml:space="preserve">- Increased quality assurance </w:t>
            </w:r>
            <w:r w:rsidR="007D2EE3">
              <w:t>check costs for millers*</w:t>
            </w:r>
          </w:p>
          <w:p w14:paraId="1CFED230" w14:textId="4F72461E" w:rsidR="00B0136E" w:rsidRDefault="00B0136E" w:rsidP="00B0136E">
            <w:pPr>
              <w:spacing w:line="276" w:lineRule="auto"/>
            </w:pPr>
          </w:p>
        </w:tc>
        <w:tc>
          <w:tcPr>
            <w:tcW w:w="1327" w:type="pct"/>
          </w:tcPr>
          <w:p w14:paraId="7B75151D" w14:textId="72A781EB" w:rsidR="00B0136E" w:rsidRDefault="00B0136E" w:rsidP="00B0136E">
            <w:pPr>
              <w:spacing w:line="276" w:lineRule="auto"/>
            </w:pPr>
            <w:r>
              <w:t>- Familiarisation costs for enforcement authorities</w:t>
            </w:r>
          </w:p>
        </w:tc>
      </w:tr>
      <w:tr w:rsidR="00274389" w14:paraId="55862FBB" w14:textId="77777777" w:rsidTr="00CB45F6">
        <w:tc>
          <w:tcPr>
            <w:tcW w:w="1017" w:type="pct"/>
          </w:tcPr>
          <w:p w14:paraId="0AC9FDE1" w14:textId="77777777" w:rsidR="00274389" w:rsidRPr="001F60D8" w:rsidRDefault="00274389" w:rsidP="00274389">
            <w:pPr>
              <w:spacing w:line="276" w:lineRule="auto"/>
              <w:rPr>
                <w:i/>
                <w:iCs/>
              </w:rPr>
            </w:pPr>
            <w:r w:rsidRPr="00762114">
              <w:rPr>
                <w:b/>
                <w:bCs/>
              </w:rPr>
              <w:t>Option 3</w:t>
            </w:r>
          </w:p>
        </w:tc>
        <w:tc>
          <w:tcPr>
            <w:tcW w:w="1328" w:type="pct"/>
          </w:tcPr>
          <w:p w14:paraId="7649D95E" w14:textId="78CDD6F3" w:rsidR="00274389" w:rsidRDefault="00274389" w:rsidP="00274389">
            <w:pPr>
              <w:spacing w:line="276" w:lineRule="auto"/>
            </w:pPr>
          </w:p>
          <w:p w14:paraId="436044B9" w14:textId="77777777" w:rsidR="002A1623" w:rsidRDefault="002A1623" w:rsidP="00274389">
            <w:pPr>
              <w:spacing w:line="276" w:lineRule="auto"/>
            </w:pPr>
          </w:p>
          <w:p w14:paraId="021D65FA" w14:textId="72B278FA" w:rsidR="002A1623" w:rsidRDefault="002A1623" w:rsidP="00274389">
            <w:pPr>
              <w:spacing w:line="276" w:lineRule="auto"/>
            </w:pPr>
          </w:p>
        </w:tc>
        <w:tc>
          <w:tcPr>
            <w:tcW w:w="1328" w:type="pct"/>
          </w:tcPr>
          <w:p w14:paraId="3CDDD501" w14:textId="274C4DC6" w:rsidR="00274389" w:rsidRDefault="00274389" w:rsidP="00274389">
            <w:pPr>
              <w:spacing w:line="276" w:lineRule="auto"/>
            </w:pPr>
          </w:p>
        </w:tc>
        <w:tc>
          <w:tcPr>
            <w:tcW w:w="1327" w:type="pct"/>
          </w:tcPr>
          <w:p w14:paraId="25414F26" w14:textId="77777777" w:rsidR="00274389" w:rsidRDefault="00274389" w:rsidP="00274389">
            <w:pPr>
              <w:spacing w:line="276" w:lineRule="auto"/>
            </w:pPr>
          </w:p>
        </w:tc>
      </w:tr>
      <w:tr w:rsidR="00274389" w14:paraId="524D1D60" w14:textId="77777777" w:rsidTr="00CB45F6">
        <w:tc>
          <w:tcPr>
            <w:tcW w:w="1017" w:type="pct"/>
          </w:tcPr>
          <w:p w14:paraId="17E20B5A" w14:textId="77777777" w:rsidR="00274389" w:rsidRPr="00762114" w:rsidRDefault="00274389" w:rsidP="00274389">
            <w:pPr>
              <w:spacing w:line="276" w:lineRule="auto"/>
              <w:rPr>
                <w:b/>
                <w:bCs/>
              </w:rPr>
            </w:pPr>
            <w:r w:rsidRPr="595AB009">
              <w:rPr>
                <w:b/>
                <w:bCs/>
              </w:rPr>
              <w:t>Option 4</w:t>
            </w:r>
          </w:p>
        </w:tc>
        <w:tc>
          <w:tcPr>
            <w:tcW w:w="1328" w:type="pct"/>
          </w:tcPr>
          <w:p w14:paraId="309029C0" w14:textId="77777777" w:rsidR="00274389" w:rsidRDefault="00274389" w:rsidP="00274389">
            <w:pPr>
              <w:spacing w:line="276" w:lineRule="auto"/>
            </w:pPr>
          </w:p>
          <w:p w14:paraId="55DA3D2E" w14:textId="43D7FC37" w:rsidR="002A1623" w:rsidRDefault="002A1623" w:rsidP="00274389">
            <w:pPr>
              <w:spacing w:line="276" w:lineRule="auto"/>
            </w:pPr>
          </w:p>
        </w:tc>
        <w:tc>
          <w:tcPr>
            <w:tcW w:w="1328" w:type="pct"/>
          </w:tcPr>
          <w:p w14:paraId="306A0479" w14:textId="18AE9BB4" w:rsidR="00274389" w:rsidRDefault="00274389" w:rsidP="00274389">
            <w:pPr>
              <w:spacing w:line="276" w:lineRule="auto"/>
            </w:pPr>
          </w:p>
        </w:tc>
        <w:tc>
          <w:tcPr>
            <w:tcW w:w="1327" w:type="pct"/>
          </w:tcPr>
          <w:p w14:paraId="6E3A6BF9" w14:textId="77777777" w:rsidR="00274389" w:rsidRDefault="00274389" w:rsidP="00274389">
            <w:pPr>
              <w:spacing w:line="276" w:lineRule="auto"/>
            </w:pPr>
          </w:p>
        </w:tc>
      </w:tr>
      <w:tr w:rsidR="00274389" w14:paraId="4EDFDAEC" w14:textId="77777777" w:rsidTr="00CB45F6">
        <w:tc>
          <w:tcPr>
            <w:tcW w:w="1017" w:type="pct"/>
            <w:tcBorders>
              <w:bottom w:val="single" w:sz="4" w:space="0" w:color="auto"/>
            </w:tcBorders>
          </w:tcPr>
          <w:p w14:paraId="736CD7B2" w14:textId="0C01CCDD" w:rsidR="00274389" w:rsidRPr="001F60D8" w:rsidRDefault="00274389" w:rsidP="00274389">
            <w:pPr>
              <w:spacing w:line="276" w:lineRule="auto"/>
              <w:rPr>
                <w:i/>
                <w:iCs/>
              </w:rPr>
            </w:pPr>
            <w:r w:rsidRPr="595AB009">
              <w:rPr>
                <w:b/>
                <w:bCs/>
              </w:rPr>
              <w:t>Option 5 (</w:t>
            </w:r>
            <w:r>
              <w:rPr>
                <w:b/>
                <w:bCs/>
              </w:rPr>
              <w:t>agreed</w:t>
            </w:r>
            <w:r w:rsidRPr="595AB009">
              <w:rPr>
                <w:b/>
                <w:bCs/>
              </w:rPr>
              <w:t xml:space="preserve"> option)</w:t>
            </w:r>
          </w:p>
        </w:tc>
        <w:tc>
          <w:tcPr>
            <w:tcW w:w="1328" w:type="pct"/>
            <w:tcBorders>
              <w:bottom w:val="single" w:sz="4" w:space="0" w:color="auto"/>
            </w:tcBorders>
          </w:tcPr>
          <w:p w14:paraId="3CC02A78" w14:textId="0C8B681D" w:rsidR="00274389" w:rsidRDefault="00274389" w:rsidP="00274389">
            <w:pPr>
              <w:spacing w:line="276" w:lineRule="auto"/>
            </w:pPr>
          </w:p>
        </w:tc>
        <w:tc>
          <w:tcPr>
            <w:tcW w:w="1328" w:type="pct"/>
            <w:tcBorders>
              <w:bottom w:val="single" w:sz="4" w:space="0" w:color="auto"/>
            </w:tcBorders>
          </w:tcPr>
          <w:p w14:paraId="556ABC7A" w14:textId="6DFA466F" w:rsidR="00274389" w:rsidRDefault="00274389" w:rsidP="00274389">
            <w:pPr>
              <w:spacing w:line="276" w:lineRule="auto"/>
            </w:pPr>
            <w:r>
              <w:t>- Increased fortification costs (larger millers only)</w:t>
            </w:r>
          </w:p>
          <w:p w14:paraId="7ACD82C3" w14:textId="77777777" w:rsidR="00274389" w:rsidRDefault="00274389" w:rsidP="00274389">
            <w:pPr>
              <w:spacing w:line="276" w:lineRule="auto"/>
            </w:pPr>
            <w:r>
              <w:t>- Initial implementation costs associated with revised labelling and package waste costs (larger millers only)</w:t>
            </w:r>
          </w:p>
          <w:p w14:paraId="6D651670" w14:textId="391E6901" w:rsidR="00274389" w:rsidRDefault="00274389" w:rsidP="00274389">
            <w:pPr>
              <w:spacing w:line="276" w:lineRule="auto"/>
            </w:pPr>
            <w:r>
              <w:t>- Initial implementation costs associated with revised labelling and package waste costs (small-scale millers who choose to no longer fortify)</w:t>
            </w:r>
          </w:p>
        </w:tc>
        <w:tc>
          <w:tcPr>
            <w:tcW w:w="1327" w:type="pct"/>
            <w:tcBorders>
              <w:bottom w:val="single" w:sz="4" w:space="0" w:color="auto"/>
            </w:tcBorders>
          </w:tcPr>
          <w:p w14:paraId="5A1ABD5F" w14:textId="77777777" w:rsidR="00274389" w:rsidRDefault="00274389" w:rsidP="00517A08">
            <w:pPr>
              <w:spacing w:line="276" w:lineRule="auto"/>
            </w:pPr>
          </w:p>
        </w:tc>
      </w:tr>
      <w:tr w:rsidR="00893E3E" w14:paraId="7F25744C" w14:textId="77777777" w:rsidTr="00CB45F6">
        <w:tc>
          <w:tcPr>
            <w:tcW w:w="5000" w:type="pct"/>
            <w:gridSpan w:val="4"/>
            <w:tcBorders>
              <w:left w:val="nil"/>
              <w:bottom w:val="nil"/>
              <w:right w:val="nil"/>
            </w:tcBorders>
          </w:tcPr>
          <w:p w14:paraId="7CDE81C6" w14:textId="4759EA76" w:rsidR="00893E3E" w:rsidRDefault="00893E3E" w:rsidP="00CB45F6">
            <w:pPr>
              <w:spacing w:line="276" w:lineRule="auto"/>
            </w:pPr>
            <w:r w:rsidRPr="0070531A">
              <w:rPr>
                <w:b/>
                <w:bCs/>
              </w:rPr>
              <w:t xml:space="preserve">* Unmonetised </w:t>
            </w:r>
            <w:r w:rsidR="00761062" w:rsidRPr="0070531A">
              <w:rPr>
                <w:b/>
                <w:bCs/>
              </w:rPr>
              <w:t>cost</w:t>
            </w:r>
            <w:r w:rsidR="00AE74D3">
              <w:t>; this could be due to a lack of (Scottish, UK, or international) data or evidence, or due to the difficulty in monetising it.</w:t>
            </w:r>
          </w:p>
        </w:tc>
      </w:tr>
    </w:tbl>
    <w:p w14:paraId="2FB00141" w14:textId="77777777" w:rsidR="00893E3E" w:rsidRDefault="00893E3E" w:rsidP="00874ABD">
      <w:pPr>
        <w:spacing w:line="276" w:lineRule="auto"/>
        <w:rPr>
          <w:color w:val="009CBD" w:themeColor="accent4"/>
        </w:rPr>
      </w:pPr>
    </w:p>
    <w:p w14:paraId="6CD3D79D" w14:textId="77777777" w:rsidR="00893E3E" w:rsidRDefault="00893E3E" w:rsidP="00874ABD">
      <w:pPr>
        <w:spacing w:line="276" w:lineRule="auto"/>
        <w:rPr>
          <w:color w:val="009CBD" w:themeColor="accent4"/>
        </w:rPr>
      </w:pPr>
    </w:p>
    <w:p w14:paraId="5CA759CF" w14:textId="37482238" w:rsidR="0084507B" w:rsidRDefault="0084507B">
      <w:pPr>
        <w:spacing w:line="240" w:lineRule="auto"/>
        <w:jc w:val="both"/>
        <w:rPr>
          <w:color w:val="009CBD" w:themeColor="accent4"/>
        </w:rPr>
      </w:pPr>
      <w:r>
        <w:rPr>
          <w:color w:val="009CBD" w:themeColor="accent4"/>
        </w:rPr>
        <w:br w:type="page"/>
      </w:r>
    </w:p>
    <w:p w14:paraId="2540AA72" w14:textId="154D2438" w:rsidR="005C5254" w:rsidRDefault="016DBABB" w:rsidP="595AB009">
      <w:pPr>
        <w:pStyle w:val="Heading1"/>
      </w:pPr>
      <w:bookmarkStart w:id="44" w:name="_Toc141427920"/>
      <w:bookmarkStart w:id="45" w:name="_Toc141428003"/>
      <w:bookmarkStart w:id="46" w:name="_Toc142556667"/>
      <w:bookmarkStart w:id="47" w:name="_Toc164407109"/>
      <w:bookmarkStart w:id="48" w:name="_Toc165382841"/>
      <w:r>
        <w:t>Regulatory and EU Alignment Impacts</w:t>
      </w:r>
      <w:bookmarkEnd w:id="44"/>
      <w:bookmarkEnd w:id="45"/>
      <w:bookmarkEnd w:id="46"/>
      <w:bookmarkEnd w:id="47"/>
      <w:bookmarkEnd w:id="48"/>
    </w:p>
    <w:p w14:paraId="35727BD6" w14:textId="2BF3197E" w:rsidR="005C5254" w:rsidRDefault="016DBABB" w:rsidP="00DA0433">
      <w:pPr>
        <w:pStyle w:val="Heading2"/>
      </w:pPr>
      <w:bookmarkStart w:id="49" w:name="_Toc141427921"/>
      <w:bookmarkStart w:id="50" w:name="_Toc141428004"/>
      <w:r w:rsidRPr="3C6AB4A7">
        <w:t>Intra-UK Trade</w:t>
      </w:r>
      <w:bookmarkEnd w:id="49"/>
      <w:bookmarkEnd w:id="50"/>
    </w:p>
    <w:p w14:paraId="3BFFAD7B" w14:textId="67CB82A6" w:rsidR="005C5254" w:rsidRPr="005C5254" w:rsidRDefault="22AE2661" w:rsidP="595AB009">
      <w:r>
        <w:t>Policy leads from across the four nations have worked together under the provisional Food Compositional Standards and Labelling common framework to review the legislation</w:t>
      </w:r>
      <w:r w:rsidR="56CDD050">
        <w:t xml:space="preserve">, </w:t>
      </w:r>
      <w:r>
        <w:t xml:space="preserve">develop the </w:t>
      </w:r>
      <w:r w:rsidR="49E55A53">
        <w:t xml:space="preserve">UK wide </w:t>
      </w:r>
      <w:r>
        <w:t xml:space="preserve">consultation and agree the policy across the UK. As the addition of vitamins and minerals to food falls within the Nutrition Labelling and Composition Standards framework, relevant officials have also been engaged. These measures are being adopted across the UK and will come into force on a common commencement date. </w:t>
      </w:r>
      <w:r w:rsidR="6CFF3D30">
        <w:t>Therefore,</w:t>
      </w:r>
      <w:r>
        <w:t xml:space="preserve"> there will be no</w:t>
      </w:r>
      <w:r w:rsidR="41E7AC43">
        <w:t xml:space="preserve"> divergence or</w:t>
      </w:r>
      <w:r>
        <w:t xml:space="preserve"> impact on intra-UK trade.</w:t>
      </w:r>
    </w:p>
    <w:p w14:paraId="7B70C5C1" w14:textId="7A934B93" w:rsidR="005C5254" w:rsidRPr="005C5254" w:rsidRDefault="1FE621C9" w:rsidP="00DA0433">
      <w:pPr>
        <w:pStyle w:val="Heading2"/>
      </w:pPr>
      <w:bookmarkStart w:id="51" w:name="_Toc141427922"/>
      <w:bookmarkStart w:id="52" w:name="_Toc141428005"/>
      <w:r w:rsidRPr="3C6AB4A7">
        <w:t>International Trade</w:t>
      </w:r>
      <w:bookmarkEnd w:id="51"/>
      <w:bookmarkEnd w:id="52"/>
    </w:p>
    <w:p w14:paraId="35E0E248" w14:textId="38E7D443" w:rsidR="0011358D" w:rsidRDefault="507AA9CF" w:rsidP="017C06D8">
      <w:r w:rsidRPr="017C06D8">
        <w:t xml:space="preserve">These domestic measures are unlikely to impact </w:t>
      </w:r>
      <w:r w:rsidR="003D3BA9">
        <w:t xml:space="preserve">significantly </w:t>
      </w:r>
      <w:r w:rsidRPr="017C06D8">
        <w:t>on international trade and investment.</w:t>
      </w:r>
    </w:p>
    <w:p w14:paraId="794D0A1C" w14:textId="32FB8B1F" w:rsidR="0011358D" w:rsidRPr="008A22A9" w:rsidRDefault="008A22A9" w:rsidP="0D8D2513">
      <w:pPr>
        <w:pStyle w:val="Heading3"/>
        <w:numPr>
          <w:ilvl w:val="2"/>
          <w:numId w:val="0"/>
        </w:numPr>
        <w:rPr>
          <w:b w:val="0"/>
          <w:bCs w:val="0"/>
          <w:u w:val="single"/>
        </w:rPr>
      </w:pPr>
      <w:r w:rsidRPr="008A22A9">
        <w:rPr>
          <w:b w:val="0"/>
          <w:bCs w:val="0"/>
          <w:u w:val="single"/>
        </w:rPr>
        <w:t xml:space="preserve">5.2.1 </w:t>
      </w:r>
      <w:r w:rsidR="09050F80" w:rsidRPr="008A22A9">
        <w:rPr>
          <w:b w:val="0"/>
          <w:bCs w:val="0"/>
          <w:u w:val="single"/>
        </w:rPr>
        <w:t>Exports</w:t>
      </w:r>
    </w:p>
    <w:p w14:paraId="1D8CC100" w14:textId="3BE56831" w:rsidR="0011358D" w:rsidRDefault="001A2898" w:rsidP="017C06D8">
      <w:pPr>
        <w:rPr>
          <w:rFonts w:ascii="Arial" w:hAnsi="Arial" w:cs="Arial"/>
        </w:rPr>
      </w:pPr>
      <w:r>
        <w:t xml:space="preserve">Only 6% of flour produced domestically in the UK is exported </w:t>
      </w:r>
      <w:r w:rsidR="00D4598B">
        <w:t xml:space="preserve">– </w:t>
      </w:r>
      <w:r>
        <w:t>c.a. 270,000 tonnes annually</w:t>
      </w:r>
      <w:r w:rsidR="00D4598B">
        <w:t xml:space="preserve"> – </w:t>
      </w:r>
      <w:r>
        <w:t xml:space="preserve">according to </w:t>
      </w:r>
      <w:r w:rsidR="00390690">
        <w:t xml:space="preserve">HMRC’s Overseas Trade </w:t>
      </w:r>
      <w:r w:rsidR="00390690" w:rsidRPr="00115CF7">
        <w:rPr>
          <w:rFonts w:ascii="Arial" w:hAnsi="Arial" w:cs="Arial"/>
        </w:rPr>
        <w:t>Statistics</w:t>
      </w:r>
      <w:r w:rsidR="00964281" w:rsidRPr="00115CF7">
        <w:rPr>
          <w:rStyle w:val="FootnoteReference"/>
          <w:rFonts w:ascii="Arial" w:hAnsi="Arial" w:cs="Arial"/>
          <w:sz w:val="24"/>
        </w:rPr>
        <w:footnoteReference w:id="2"/>
      </w:r>
      <w:r w:rsidR="00390690" w:rsidRPr="00115CF7">
        <w:rPr>
          <w:rFonts w:ascii="Arial" w:hAnsi="Arial" w:cs="Arial"/>
        </w:rPr>
        <w:t>.</w:t>
      </w:r>
      <w:r w:rsidR="00CF79FC">
        <w:rPr>
          <w:rFonts w:ascii="Arial" w:hAnsi="Arial" w:cs="Arial"/>
        </w:rPr>
        <w:t xml:space="preserve"> Flour that is exported, whether as commodity or as an ingredient in a processed food, can be exempted from the Regulations </w:t>
      </w:r>
      <w:r w:rsidR="00324BE7">
        <w:rPr>
          <w:rFonts w:ascii="Arial" w:hAnsi="Arial" w:cs="Arial"/>
        </w:rPr>
        <w:t>if the exporter decides to do so.</w:t>
      </w:r>
      <w:r w:rsidR="00937872">
        <w:rPr>
          <w:rFonts w:ascii="Arial" w:hAnsi="Arial" w:cs="Arial"/>
        </w:rPr>
        <w:t xml:space="preserve"> For these reasons, the proposed amendments would not have an impact on exported flour.</w:t>
      </w:r>
    </w:p>
    <w:p w14:paraId="23C9DE74" w14:textId="5291DDCF" w:rsidR="0011358D" w:rsidRPr="008A22A9" w:rsidRDefault="008A22A9" w:rsidP="0D8D2513">
      <w:pPr>
        <w:pStyle w:val="Heading3"/>
        <w:numPr>
          <w:ilvl w:val="2"/>
          <w:numId w:val="0"/>
        </w:numPr>
        <w:rPr>
          <w:b w:val="0"/>
          <w:bCs w:val="0"/>
          <w:u w:val="single"/>
        </w:rPr>
      </w:pPr>
      <w:r w:rsidRPr="008A22A9">
        <w:rPr>
          <w:b w:val="0"/>
          <w:bCs w:val="0"/>
          <w:u w:val="single"/>
        </w:rPr>
        <w:t xml:space="preserve">5.2.2 </w:t>
      </w:r>
      <w:r w:rsidR="09050F80" w:rsidRPr="008A22A9">
        <w:rPr>
          <w:b w:val="0"/>
          <w:bCs w:val="0"/>
          <w:u w:val="single"/>
        </w:rPr>
        <w:t>Imports</w:t>
      </w:r>
    </w:p>
    <w:p w14:paraId="3EFC1756" w14:textId="5C7723B1" w:rsidR="0011358D" w:rsidRPr="0011358D" w:rsidRDefault="00ED5DC0" w:rsidP="0011358D">
      <w:r>
        <w:t>Producers</w:t>
      </w:r>
      <w:r w:rsidR="00A85F3F">
        <w:t xml:space="preserve"> who currently export their flour to the UK will also need to fortify</w:t>
      </w:r>
      <w:r w:rsidR="00AC7D04">
        <w:t xml:space="preserve"> </w:t>
      </w:r>
      <w:r>
        <w:t>and will therefore face increased fortification costs, which may impact the price or availability of such flour. However, the UK imports less than 2% of all flour consumed</w:t>
      </w:r>
      <w:r w:rsidR="00F931CF">
        <w:t xml:space="preserve">, </w:t>
      </w:r>
      <w:r w:rsidR="00513778">
        <w:t>meaning</w:t>
      </w:r>
      <w:r w:rsidR="00F931CF">
        <w:t xml:space="preserve"> that the impact on UK consumers will likely be negligible</w:t>
      </w:r>
      <w:r>
        <w:t>.</w:t>
      </w:r>
    </w:p>
    <w:p w14:paraId="2A60A35E" w14:textId="77777777" w:rsidR="005C5254" w:rsidRPr="005C5254" w:rsidRDefault="1FE621C9" w:rsidP="00DA0433">
      <w:pPr>
        <w:pStyle w:val="Heading2"/>
      </w:pPr>
      <w:bookmarkStart w:id="53" w:name="_Toc141427923"/>
      <w:bookmarkStart w:id="54" w:name="_Toc141428006"/>
      <w:r w:rsidRPr="3C6AB4A7">
        <w:t>EU Alignment</w:t>
      </w:r>
      <w:bookmarkEnd w:id="53"/>
      <w:bookmarkEnd w:id="54"/>
    </w:p>
    <w:p w14:paraId="3700E50C" w14:textId="21E9E7D3" w:rsidR="00782848" w:rsidRDefault="0D962CE9" w:rsidP="00DD66AB">
      <w:r>
        <w:t>Across the EU there is variation in the requireme</w:t>
      </w:r>
      <w:r w:rsidR="75A629A5">
        <w:t>nts around the fortification of food and more generally across</w:t>
      </w:r>
      <w:r w:rsidR="14038BE8">
        <w:t xml:space="preserve"> a range of</w:t>
      </w:r>
      <w:r w:rsidR="75A629A5">
        <w:t xml:space="preserve"> </w:t>
      </w:r>
      <w:r>
        <w:t>domestic legislation</w:t>
      </w:r>
      <w:r w:rsidR="5ADEC659">
        <w:t>.</w:t>
      </w:r>
      <w:r>
        <w:t xml:space="preserve"> </w:t>
      </w:r>
      <w:r w:rsidR="1E140625">
        <w:t>The Regulations provide for longstanding domestic measures</w:t>
      </w:r>
      <w:r w:rsidR="7BA52E2E">
        <w:t xml:space="preserve"> </w:t>
      </w:r>
      <w:r w:rsidR="2043AD83">
        <w:t>i</w:t>
      </w:r>
      <w:r w:rsidR="7BA52E2E">
        <w:t xml:space="preserve">n Scotland, </w:t>
      </w:r>
      <w:r w:rsidR="1E140625">
        <w:t>on the fortification of flour</w:t>
      </w:r>
      <w:r w:rsidR="0721E6C1">
        <w:t xml:space="preserve"> </w:t>
      </w:r>
      <w:r w:rsidR="1E140625">
        <w:t xml:space="preserve">and as </w:t>
      </w:r>
      <w:r w:rsidR="74F1DF8A">
        <w:t xml:space="preserve">such </w:t>
      </w:r>
      <w:r w:rsidR="1E140625">
        <w:t xml:space="preserve">will not impact on the Scottish government’s policy to maintain alignment with the EU. However, increasing the levels of </w:t>
      </w:r>
      <w:r w:rsidR="1E140625" w:rsidRPr="0D8D2513">
        <w:rPr>
          <w:color w:val="000000" w:themeColor="text1"/>
        </w:rPr>
        <w:t>calcium carbonate, iron, and niacin</w:t>
      </w:r>
      <w:r w:rsidR="1E140625">
        <w:t xml:space="preserve"> to align with the requirements set out in both EU and affiliated EU law will support the Scottish government’s policy to maintain alignment with the EU.</w:t>
      </w:r>
    </w:p>
    <w:p w14:paraId="4EEF5B49" w14:textId="77777777" w:rsidR="00782848" w:rsidRDefault="00782848">
      <w:pPr>
        <w:spacing w:line="240" w:lineRule="auto"/>
        <w:jc w:val="both"/>
      </w:pPr>
      <w:r>
        <w:br w:type="page"/>
      </w:r>
    </w:p>
    <w:p w14:paraId="1CC4BDCC" w14:textId="14213EBD" w:rsidR="00D51F63" w:rsidRDefault="16699E7E" w:rsidP="00782848">
      <w:pPr>
        <w:pStyle w:val="Heading1"/>
      </w:pPr>
      <w:bookmarkStart w:id="55" w:name="_Toc165382842"/>
      <w:bookmarkStart w:id="56" w:name="_Toc141427924"/>
      <w:bookmarkStart w:id="57" w:name="_Toc141428007"/>
      <w:bookmarkStart w:id="58" w:name="_Toc142556668"/>
      <w:bookmarkStart w:id="59" w:name="_Toc164407110"/>
      <w:r>
        <w:t>Scottish Firms Impact Test</w:t>
      </w:r>
      <w:bookmarkEnd w:id="55"/>
      <w:bookmarkEnd w:id="56"/>
      <w:bookmarkEnd w:id="57"/>
      <w:bookmarkEnd w:id="58"/>
      <w:bookmarkEnd w:id="59"/>
    </w:p>
    <w:p w14:paraId="6440BF62" w14:textId="0F841A45" w:rsidR="008A22A9" w:rsidRDefault="58CAD3F7" w:rsidP="008A22A9">
      <w:pPr>
        <w:shd w:val="clear" w:color="auto" w:fill="FFFFFF" w:themeFill="background1"/>
        <w:spacing w:line="276" w:lineRule="auto"/>
        <w:rPr>
          <w:rFonts w:eastAsiaTheme="minorEastAsia"/>
          <w:color w:val="333333"/>
        </w:rPr>
      </w:pPr>
      <w:r w:rsidRPr="0F8F8A37">
        <w:rPr>
          <w:rFonts w:eastAsiaTheme="minorEastAsia"/>
          <w:color w:val="333333"/>
        </w:rPr>
        <w:t xml:space="preserve">Engagement </w:t>
      </w:r>
      <w:r w:rsidR="032F283E" w:rsidRPr="0F8F8A37">
        <w:rPr>
          <w:rFonts w:eastAsiaTheme="minorEastAsia"/>
          <w:color w:val="333333"/>
        </w:rPr>
        <w:t xml:space="preserve">and consultation on the policy proposals </w:t>
      </w:r>
      <w:r w:rsidRPr="0F8F8A37">
        <w:rPr>
          <w:rFonts w:eastAsiaTheme="minorEastAsia"/>
          <w:color w:val="333333"/>
        </w:rPr>
        <w:t xml:space="preserve">with </w:t>
      </w:r>
      <w:r w:rsidR="390A5C06" w:rsidRPr="0F8F8A37">
        <w:rPr>
          <w:rFonts w:eastAsiaTheme="minorEastAsia"/>
          <w:color w:val="333333"/>
        </w:rPr>
        <w:t>stakeholders including</w:t>
      </w:r>
      <w:r w:rsidRPr="0F8F8A37">
        <w:rPr>
          <w:rFonts w:eastAsiaTheme="minorEastAsia"/>
          <w:color w:val="333333"/>
        </w:rPr>
        <w:t xml:space="preserve"> businesses, the public sector </w:t>
      </w:r>
      <w:r w:rsidR="26418BAE" w:rsidRPr="0F8F8A37">
        <w:rPr>
          <w:rFonts w:eastAsiaTheme="minorEastAsia"/>
          <w:color w:val="333333"/>
        </w:rPr>
        <w:t xml:space="preserve">and consumers </w:t>
      </w:r>
      <w:r w:rsidRPr="0F8F8A37">
        <w:rPr>
          <w:rFonts w:eastAsiaTheme="minorEastAsia"/>
          <w:color w:val="333333"/>
        </w:rPr>
        <w:t xml:space="preserve">has shaped the development of </w:t>
      </w:r>
      <w:r w:rsidR="386B98D7" w:rsidRPr="0F8F8A37">
        <w:rPr>
          <w:rFonts w:eastAsiaTheme="minorEastAsia"/>
          <w:color w:val="333333"/>
        </w:rPr>
        <w:t>the amendments being made to the Regulations.</w:t>
      </w:r>
      <w:r w:rsidR="00D8624C">
        <w:rPr>
          <w:rFonts w:eastAsiaTheme="minorEastAsia"/>
          <w:color w:val="333333"/>
        </w:rPr>
        <w:t xml:space="preserve"> </w:t>
      </w:r>
      <w:r w:rsidRPr="0F8F8A37">
        <w:rPr>
          <w:rFonts w:eastAsiaTheme="minorEastAsia"/>
          <w:color w:val="333333"/>
        </w:rPr>
        <w:t>Th</w:t>
      </w:r>
      <w:r w:rsidR="2DBF0B70" w:rsidRPr="0F8F8A37">
        <w:rPr>
          <w:rFonts w:eastAsiaTheme="minorEastAsia"/>
          <w:color w:val="333333"/>
        </w:rPr>
        <w:t xml:space="preserve">e additional </w:t>
      </w:r>
      <w:r w:rsidR="5934AAC0" w:rsidRPr="237A3E73">
        <w:rPr>
          <w:rFonts w:ascii="Arial" w:eastAsia="Arial" w:hAnsi="Arial" w:cs="Arial"/>
          <w:color w:val="333333"/>
        </w:rPr>
        <w:t>consultation on the implementation of the Regulations in Scotland is seeking additional views to consider if there are any additional Scottish</w:t>
      </w:r>
      <w:r w:rsidR="00534179">
        <w:rPr>
          <w:rFonts w:ascii="Arial" w:eastAsia="Arial" w:hAnsi="Arial" w:cs="Arial"/>
          <w:color w:val="333333"/>
        </w:rPr>
        <w:t>-</w:t>
      </w:r>
      <w:r w:rsidR="5934AAC0" w:rsidRPr="237A3E73">
        <w:rPr>
          <w:rFonts w:ascii="Arial" w:eastAsia="Arial" w:hAnsi="Arial" w:cs="Arial"/>
          <w:color w:val="333333"/>
        </w:rPr>
        <w:t>specific implications concerning the implementation of these changes that ha</w:t>
      </w:r>
      <w:r w:rsidR="00517E51">
        <w:rPr>
          <w:rFonts w:ascii="Arial" w:eastAsia="Arial" w:hAnsi="Arial" w:cs="Arial"/>
          <w:color w:val="333333"/>
        </w:rPr>
        <w:t>ve</w:t>
      </w:r>
      <w:r w:rsidR="5934AAC0" w:rsidRPr="237A3E73">
        <w:rPr>
          <w:rFonts w:ascii="Arial" w:eastAsia="Arial" w:hAnsi="Arial" w:cs="Arial"/>
          <w:color w:val="333333"/>
        </w:rPr>
        <w:t xml:space="preserve"> not already been raised.</w:t>
      </w:r>
      <w:r w:rsidR="5934AAC0" w:rsidRPr="0F8F8A37">
        <w:rPr>
          <w:rFonts w:eastAsiaTheme="minorEastAsia"/>
          <w:color w:val="333333"/>
        </w:rPr>
        <w:t xml:space="preserve"> </w:t>
      </w:r>
      <w:r w:rsidRPr="4117432C">
        <w:rPr>
          <w:rFonts w:eastAsiaTheme="minorEastAsia"/>
          <w:color w:val="333333"/>
        </w:rPr>
        <w:t>Any specific issues that emerge from respondents will be followed up in more detail.</w:t>
      </w:r>
    </w:p>
    <w:p w14:paraId="0CDC6876" w14:textId="09CD09AA" w:rsidR="47DE7250" w:rsidRDefault="1DBB832B" w:rsidP="00782848">
      <w:pPr>
        <w:pStyle w:val="Heading1"/>
      </w:pPr>
      <w:bookmarkStart w:id="60" w:name="_Toc141427925"/>
      <w:bookmarkStart w:id="61" w:name="_Toc141428008"/>
      <w:bookmarkStart w:id="62" w:name="_Toc142556669"/>
      <w:bookmarkStart w:id="63" w:name="_Toc164407111"/>
      <w:bookmarkStart w:id="64" w:name="_Toc165382843"/>
      <w:r>
        <w:t xml:space="preserve">Competition </w:t>
      </w:r>
      <w:r w:rsidR="07CF6862">
        <w:t>Assessment</w:t>
      </w:r>
      <w:bookmarkEnd w:id="60"/>
      <w:bookmarkEnd w:id="61"/>
      <w:bookmarkEnd w:id="62"/>
      <w:bookmarkEnd w:id="63"/>
      <w:bookmarkEnd w:id="64"/>
    </w:p>
    <w:p w14:paraId="5577BC98" w14:textId="77777777" w:rsidR="00502C98" w:rsidRPr="00A03383" w:rsidRDefault="147E74F2" w:rsidP="00DA0433">
      <w:pPr>
        <w:pStyle w:val="Heading2"/>
      </w:pPr>
      <w:bookmarkStart w:id="65" w:name="_Toc141427926"/>
      <w:bookmarkStart w:id="66" w:name="_Toc141428009"/>
      <w:r>
        <w:t>Introduction</w:t>
      </w:r>
      <w:bookmarkEnd w:id="65"/>
      <w:bookmarkEnd w:id="66"/>
    </w:p>
    <w:p w14:paraId="1F8F964B" w14:textId="14A7533D" w:rsidR="00502C98" w:rsidRDefault="3A3EF898" w:rsidP="00502C98">
      <w:r>
        <w:t>Following consultation responses, a more comprehensive, qualitative analysis of the competition impacts of the amendments can now be undertaken. This analysis will consider the four main competition assessment questions in turn, discussing each of the proposed amendments and their likely impacts on the relevant competition factors. Where no assessment is made in each sub-section on a particular amendment’s impact, this is because it is deemed to have no significant impact.</w:t>
      </w:r>
    </w:p>
    <w:p w14:paraId="60E091D4" w14:textId="77777777" w:rsidR="00502C98" w:rsidRDefault="00502C98" w:rsidP="00502C98"/>
    <w:p w14:paraId="1F9FEF9E" w14:textId="4D9F02C6" w:rsidR="0049572C" w:rsidRDefault="2215B921" w:rsidP="00502C98">
      <w:r>
        <w:t>Generally speaking, f</w:t>
      </w:r>
      <w:r w:rsidR="3A3EF898">
        <w:t>lour is a homogenous product</w:t>
      </w:r>
      <w:r w:rsidR="570F7760">
        <w:t xml:space="preserve"> in the UK</w:t>
      </w:r>
      <w:r w:rsidR="3A3EF898">
        <w:t>.</w:t>
      </w:r>
      <w:r w:rsidR="570F7760">
        <w:t xml:space="preserve"> Some subtle product differentiation is </w:t>
      </w:r>
      <w:r w:rsidR="2551CC41">
        <w:t>possible and</w:t>
      </w:r>
      <w:r w:rsidR="570F7760">
        <w:t xml:space="preserve"> explored in this assessment.</w:t>
      </w:r>
      <w:r w:rsidR="3A3EF898">
        <w:t xml:space="preserve"> As a result, </w:t>
      </w:r>
      <w:r w:rsidR="76395458">
        <w:t xml:space="preserve">most </w:t>
      </w:r>
      <w:r w:rsidR="3A3EF898">
        <w:t xml:space="preserve">competition </w:t>
      </w:r>
      <w:r w:rsidR="76395458">
        <w:t xml:space="preserve">within UK industry </w:t>
      </w:r>
      <w:r w:rsidR="3A3EF898">
        <w:t xml:space="preserve">occurs on price, as opposed to the ability to offer a unique product, or quality. In some </w:t>
      </w:r>
      <w:r w:rsidR="024F94D9">
        <w:t>cases,</w:t>
      </w:r>
      <w:r w:rsidR="3A3EF898">
        <w:t xml:space="preserve"> product differentiation is possible, such as when flour is produced locally in heritage mills, using traditional production processes. With this understanding of </w:t>
      </w:r>
      <w:r w:rsidR="3867BCD1">
        <w:t>the industry</w:t>
      </w:r>
      <w:r w:rsidR="3A3EF898">
        <w:t>, the competition assessment framework can be applied to the amendments.</w:t>
      </w:r>
    </w:p>
    <w:p w14:paraId="64909971" w14:textId="77777777" w:rsidR="00347685" w:rsidRDefault="00347685" w:rsidP="0D8D2513"/>
    <w:p w14:paraId="4E574C96" w14:textId="25368E70" w:rsidR="00FA5C89" w:rsidRDefault="0F8B8237" w:rsidP="0D8D2513">
      <w:pPr>
        <w:pStyle w:val="Caption"/>
        <w:keepNext/>
        <w:rPr>
          <w:color w:val="auto"/>
        </w:rPr>
      </w:pPr>
      <w:r w:rsidRPr="0D8D2513">
        <w:rPr>
          <w:color w:val="auto"/>
        </w:rPr>
        <w:t xml:space="preserve">Table </w:t>
      </w:r>
      <w:r w:rsidR="00FA5C89">
        <w:fldChar w:fldCharType="begin"/>
      </w:r>
      <w:r w:rsidR="00FA5C89">
        <w:instrText xml:space="preserve"> SEQ Table \* ARABIC </w:instrText>
      </w:r>
      <w:r w:rsidR="00FA5C89">
        <w:fldChar w:fldCharType="separate"/>
      </w:r>
      <w:r w:rsidR="37C08288" w:rsidRPr="0D8D2513">
        <w:rPr>
          <w:noProof/>
        </w:rPr>
        <w:t>3</w:t>
      </w:r>
      <w:r w:rsidR="00FA5C89">
        <w:fldChar w:fldCharType="end"/>
      </w:r>
      <w:r w:rsidRPr="0D8D2513">
        <w:rPr>
          <w:color w:val="auto"/>
        </w:rPr>
        <w:t>. Summary table showing</w:t>
      </w:r>
      <w:r w:rsidR="4C417C3D" w:rsidRPr="0D8D2513">
        <w:rPr>
          <w:color w:val="auto"/>
        </w:rPr>
        <w:t xml:space="preserve"> answers to</w:t>
      </w:r>
      <w:r w:rsidRPr="0D8D2513">
        <w:rPr>
          <w:color w:val="auto"/>
        </w:rPr>
        <w:t xml:space="preserve"> </w:t>
      </w:r>
      <w:r w:rsidR="4C417C3D" w:rsidRPr="0D8D2513">
        <w:rPr>
          <w:color w:val="auto"/>
        </w:rPr>
        <w:t xml:space="preserve">the CMA’s </w:t>
      </w:r>
      <w:r w:rsidRPr="0D8D2513">
        <w:rPr>
          <w:color w:val="auto"/>
        </w:rPr>
        <w:t>competition assessment questions</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2444"/>
        <w:gridCol w:w="2144"/>
        <w:gridCol w:w="5148"/>
      </w:tblGrid>
      <w:tr w:rsidR="00CE3EE5" w:rsidRPr="0047268D" w14:paraId="607A0029" w14:textId="47A369D5" w:rsidTr="004B5E89">
        <w:tc>
          <w:tcPr>
            <w:tcW w:w="1255" w:type="pct"/>
          </w:tcPr>
          <w:p w14:paraId="0B15B9C5" w14:textId="519904AA" w:rsidR="00CE3EE5" w:rsidRPr="0047268D" w:rsidRDefault="00CE3EE5" w:rsidP="0047268D">
            <w:pPr>
              <w:rPr>
                <w:b/>
                <w:bCs/>
              </w:rPr>
            </w:pPr>
            <w:r>
              <w:rPr>
                <w:b/>
                <w:bCs/>
              </w:rPr>
              <w:t>Question</w:t>
            </w:r>
          </w:p>
        </w:tc>
        <w:tc>
          <w:tcPr>
            <w:tcW w:w="3745" w:type="pct"/>
            <w:gridSpan w:val="2"/>
          </w:tcPr>
          <w:p w14:paraId="1F10BEF2" w14:textId="2BF66317" w:rsidR="00CE3EE5" w:rsidRPr="0047268D" w:rsidRDefault="00CE3EE5" w:rsidP="0047268D">
            <w:pPr>
              <w:rPr>
                <w:b/>
                <w:bCs/>
              </w:rPr>
            </w:pPr>
            <w:r w:rsidRPr="0047268D">
              <w:rPr>
                <w:b/>
                <w:bCs/>
              </w:rPr>
              <w:t>Proposed measures</w:t>
            </w:r>
          </w:p>
        </w:tc>
      </w:tr>
      <w:tr w:rsidR="00CE3EE5" w:rsidRPr="0047268D" w14:paraId="5955B4DB" w14:textId="5D7905D4" w:rsidTr="004B5E89">
        <w:tc>
          <w:tcPr>
            <w:tcW w:w="1255" w:type="pct"/>
            <w:vMerge w:val="restart"/>
          </w:tcPr>
          <w:p w14:paraId="2C9D485C" w14:textId="1869392F" w:rsidR="00CE3EE5" w:rsidRDefault="00CE3EE5" w:rsidP="0047268D">
            <w:r>
              <w:rPr>
                <w:b/>
                <w:bCs/>
              </w:rPr>
              <w:t xml:space="preserve">Q1. </w:t>
            </w:r>
            <w:r w:rsidRPr="00B97BFE">
              <w:rPr>
                <w:b/>
                <w:bCs/>
              </w:rPr>
              <w:t>W</w:t>
            </w:r>
            <w:r w:rsidRPr="0047268D">
              <w:rPr>
                <w:b/>
                <w:bCs/>
              </w:rPr>
              <w:t xml:space="preserve">ill the measure </w:t>
            </w:r>
            <w:r w:rsidRPr="00B97BFE">
              <w:rPr>
                <w:b/>
                <w:bCs/>
              </w:rPr>
              <w:t xml:space="preserve">directly or indirectly </w:t>
            </w:r>
            <w:r w:rsidRPr="0047268D">
              <w:rPr>
                <w:b/>
                <w:bCs/>
              </w:rPr>
              <w:t>limit the number or range of suppliers</w:t>
            </w:r>
            <w:r w:rsidRPr="00B97BFE">
              <w:rPr>
                <w:b/>
                <w:bCs/>
              </w:rPr>
              <w:t>?</w:t>
            </w:r>
          </w:p>
        </w:tc>
        <w:tc>
          <w:tcPr>
            <w:tcW w:w="1101" w:type="pct"/>
          </w:tcPr>
          <w:p w14:paraId="63447583" w14:textId="33DFD28D" w:rsidR="00CE3EE5" w:rsidRPr="0047268D" w:rsidRDefault="00CE3EE5" w:rsidP="0047268D">
            <w:r>
              <w:t>Folic acid</w:t>
            </w:r>
          </w:p>
        </w:tc>
        <w:tc>
          <w:tcPr>
            <w:tcW w:w="2644" w:type="pct"/>
            <w:shd w:val="clear" w:color="auto" w:fill="FFE1E1"/>
          </w:tcPr>
          <w:p w14:paraId="15B4EF86" w14:textId="3584CD33" w:rsidR="00CE3EE5" w:rsidRPr="0047268D" w:rsidRDefault="00CE3EE5" w:rsidP="00667651">
            <w:r>
              <w:t>Yes – it raises costs for millers, but fortificant costs are small.</w:t>
            </w:r>
          </w:p>
        </w:tc>
      </w:tr>
      <w:tr w:rsidR="00CE3EE5" w:rsidRPr="0047268D" w14:paraId="2800BA3E" w14:textId="7FA70A28" w:rsidTr="004B5E89">
        <w:tc>
          <w:tcPr>
            <w:tcW w:w="1255" w:type="pct"/>
            <w:vMerge/>
          </w:tcPr>
          <w:p w14:paraId="5B6A3C15" w14:textId="77777777" w:rsidR="00CE3EE5" w:rsidRDefault="00CE3EE5" w:rsidP="0047268D"/>
        </w:tc>
        <w:tc>
          <w:tcPr>
            <w:tcW w:w="1101" w:type="pct"/>
          </w:tcPr>
          <w:p w14:paraId="3D1D0140" w14:textId="6FBA5C0C" w:rsidR="00CE3EE5" w:rsidRPr="0047268D" w:rsidRDefault="00CE3EE5" w:rsidP="0047268D">
            <w:r>
              <w:t>Fortification at 15%</w:t>
            </w:r>
          </w:p>
        </w:tc>
        <w:tc>
          <w:tcPr>
            <w:tcW w:w="2644" w:type="pct"/>
            <w:shd w:val="clear" w:color="auto" w:fill="FFE1E1"/>
          </w:tcPr>
          <w:p w14:paraId="4A653721" w14:textId="3267835B" w:rsidR="00CE3EE5" w:rsidRPr="0047268D" w:rsidRDefault="00CE3EE5" w:rsidP="00667651">
            <w:r>
              <w:t>Yes – it raises costs for millers, but fortificant costs are small.</w:t>
            </w:r>
          </w:p>
        </w:tc>
      </w:tr>
      <w:tr w:rsidR="00CE3EE5" w:rsidRPr="0047268D" w14:paraId="6D13CEFC" w14:textId="60D0E3AD" w:rsidTr="004B5E89">
        <w:tc>
          <w:tcPr>
            <w:tcW w:w="1255" w:type="pct"/>
            <w:vMerge/>
          </w:tcPr>
          <w:p w14:paraId="16EE9703" w14:textId="77777777" w:rsidR="00CE3EE5" w:rsidRDefault="00CE3EE5" w:rsidP="0047268D"/>
        </w:tc>
        <w:tc>
          <w:tcPr>
            <w:tcW w:w="1101" w:type="pct"/>
          </w:tcPr>
          <w:p w14:paraId="42A30903" w14:textId="71B063B9" w:rsidR="00CE3EE5" w:rsidRPr="0047268D" w:rsidRDefault="00CE3EE5" w:rsidP="0047268D">
            <w:r>
              <w:t>Calcium specification</w:t>
            </w:r>
          </w:p>
        </w:tc>
        <w:tc>
          <w:tcPr>
            <w:tcW w:w="2644" w:type="pct"/>
            <w:shd w:val="clear" w:color="auto" w:fill="FFE1E1"/>
          </w:tcPr>
          <w:p w14:paraId="5E510176" w14:textId="7A2AA910" w:rsidR="00CE3EE5" w:rsidRDefault="00CE3EE5" w:rsidP="00C674EE">
            <w:r>
              <w:t>Yes:</w:t>
            </w:r>
          </w:p>
          <w:p w14:paraId="43A5CD83" w14:textId="76B6CFDB" w:rsidR="00CE3EE5" w:rsidRDefault="00CE3EE5" w:rsidP="00CC205C">
            <w:pPr>
              <w:pStyle w:val="ListParagraph"/>
              <w:numPr>
                <w:ilvl w:val="0"/>
                <w:numId w:val="15"/>
              </w:numPr>
            </w:pPr>
            <w:r>
              <w:t>Calcium production is related to the local geography, so changing the specification may make it difficult for some calcium suppliers.</w:t>
            </w:r>
          </w:p>
          <w:p w14:paraId="233EC02F" w14:textId="77777777" w:rsidR="00CE3EE5" w:rsidRDefault="00CE3EE5" w:rsidP="00CC205C">
            <w:pPr>
              <w:pStyle w:val="ListParagraph"/>
              <w:numPr>
                <w:ilvl w:val="0"/>
                <w:numId w:val="15"/>
              </w:numPr>
              <w:spacing w:after="160"/>
            </w:pPr>
            <w:r>
              <w:t>New specification calcium is more expensive as it needs to be imported. However, the UK source of previous specification calcium has closed down, so all premixes contain new specification anyway.</w:t>
            </w:r>
          </w:p>
          <w:p w14:paraId="63E897C8" w14:textId="697B5A19" w:rsidR="00CE3EE5" w:rsidRPr="0047268D" w:rsidRDefault="00CE3EE5" w:rsidP="00CC205C">
            <w:pPr>
              <w:pStyle w:val="ListParagraph"/>
              <w:numPr>
                <w:ilvl w:val="0"/>
                <w:numId w:val="15"/>
              </w:numPr>
              <w:spacing w:after="160"/>
            </w:pPr>
            <w:r>
              <w:t>Fortificant costs are small so may not lead to business exiting the market.</w:t>
            </w:r>
          </w:p>
        </w:tc>
      </w:tr>
      <w:tr w:rsidR="00CE3EE5" w:rsidRPr="0047268D" w14:paraId="6529FAF5" w14:textId="14BA7691" w:rsidTr="004B5E89">
        <w:tc>
          <w:tcPr>
            <w:tcW w:w="1255" w:type="pct"/>
            <w:vMerge/>
          </w:tcPr>
          <w:p w14:paraId="34CF6155" w14:textId="77777777" w:rsidR="00CE3EE5" w:rsidRDefault="00CE3EE5" w:rsidP="0047268D"/>
        </w:tc>
        <w:tc>
          <w:tcPr>
            <w:tcW w:w="1101" w:type="pct"/>
          </w:tcPr>
          <w:p w14:paraId="5AC0940F" w14:textId="372580EA" w:rsidR="00CE3EE5" w:rsidRPr="0047268D" w:rsidRDefault="00CE3EE5" w:rsidP="0047268D">
            <w:r>
              <w:t>Wheat definition</w:t>
            </w:r>
          </w:p>
        </w:tc>
        <w:tc>
          <w:tcPr>
            <w:tcW w:w="2644" w:type="pct"/>
          </w:tcPr>
          <w:p w14:paraId="70B18436" w14:textId="70E1D2B2" w:rsidR="00CE3EE5" w:rsidRPr="0047268D" w:rsidRDefault="00CE3EE5" w:rsidP="0047268D">
            <w:r>
              <w:t>No.</w:t>
            </w:r>
          </w:p>
        </w:tc>
      </w:tr>
      <w:tr w:rsidR="008E5124" w:rsidRPr="0047268D" w14:paraId="2C13FF36" w14:textId="5D9084A3">
        <w:trPr>
          <w:trHeight w:val="1715"/>
        </w:trPr>
        <w:tc>
          <w:tcPr>
            <w:tcW w:w="1255" w:type="pct"/>
            <w:vMerge/>
          </w:tcPr>
          <w:p w14:paraId="077D0100" w14:textId="77777777" w:rsidR="008E5124" w:rsidRDefault="008E5124" w:rsidP="0047268D"/>
        </w:tc>
        <w:tc>
          <w:tcPr>
            <w:tcW w:w="1101" w:type="pct"/>
          </w:tcPr>
          <w:p w14:paraId="1ACC77A1" w14:textId="77777777" w:rsidR="008E5124" w:rsidRPr="0047268D" w:rsidRDefault="008E5124" w:rsidP="0047268D">
            <w:r>
              <w:t>Small-scale miller exemption</w:t>
            </w:r>
          </w:p>
          <w:p w14:paraId="64607209" w14:textId="04A0D3D1" w:rsidR="008E5124" w:rsidRPr="0047268D" w:rsidRDefault="008E5124" w:rsidP="0047268D"/>
        </w:tc>
        <w:tc>
          <w:tcPr>
            <w:tcW w:w="2644" w:type="pct"/>
            <w:shd w:val="clear" w:color="auto" w:fill="FFE1E1"/>
          </w:tcPr>
          <w:p w14:paraId="4307218D" w14:textId="620A7FB8" w:rsidR="008E5124" w:rsidRPr="0047268D" w:rsidRDefault="008E5124" w:rsidP="00322AD9">
            <w:pPr>
              <w:spacing w:after="160"/>
            </w:pPr>
            <w:r>
              <w:t xml:space="preserve">Yes – it reduces </w:t>
            </w:r>
            <w:r w:rsidR="00F31E41">
              <w:t xml:space="preserve">(fortification) </w:t>
            </w:r>
            <w:r>
              <w:t>costs for small scale millers. However, it is not necessarily going to increase the number of suppliers as it is a sector with high entry barriers (traditions, history, etc).</w:t>
            </w:r>
          </w:p>
          <w:p w14:paraId="68E4C986" w14:textId="4F4E198F" w:rsidR="008E5124" w:rsidRPr="0047268D" w:rsidRDefault="008E5124" w:rsidP="00322AD9"/>
        </w:tc>
      </w:tr>
      <w:tr w:rsidR="00CE3EE5" w:rsidRPr="0047268D" w14:paraId="3C224A21" w14:textId="77777777" w:rsidTr="004B5E89">
        <w:tc>
          <w:tcPr>
            <w:tcW w:w="1255" w:type="pct"/>
            <w:vMerge w:val="restart"/>
          </w:tcPr>
          <w:p w14:paraId="26EDE517" w14:textId="36363507" w:rsidR="00CE3EE5" w:rsidRDefault="00BE6754" w:rsidP="00CE3EE5">
            <w:r>
              <w:rPr>
                <w:b/>
                <w:bCs/>
              </w:rPr>
              <w:t xml:space="preserve">Q2. </w:t>
            </w:r>
            <w:r w:rsidR="00CE3EE5" w:rsidRPr="00D47C36">
              <w:rPr>
                <w:b/>
                <w:bCs/>
              </w:rPr>
              <w:t>Will</w:t>
            </w:r>
            <w:r w:rsidR="00CE3EE5" w:rsidRPr="0047268D">
              <w:rPr>
                <w:b/>
                <w:bCs/>
              </w:rPr>
              <w:t xml:space="preserve"> the measure limit the ability of suppliers to compete</w:t>
            </w:r>
            <w:r w:rsidR="00CE3EE5" w:rsidRPr="00D47C36">
              <w:rPr>
                <w:b/>
                <w:bCs/>
              </w:rPr>
              <w:t>?</w:t>
            </w:r>
          </w:p>
        </w:tc>
        <w:tc>
          <w:tcPr>
            <w:tcW w:w="1101" w:type="pct"/>
          </w:tcPr>
          <w:p w14:paraId="0F7A7867" w14:textId="113776A0" w:rsidR="00CE3EE5" w:rsidRDefault="00CE3EE5" w:rsidP="00CE3EE5">
            <w:r>
              <w:t>Folic acid</w:t>
            </w:r>
          </w:p>
        </w:tc>
        <w:tc>
          <w:tcPr>
            <w:tcW w:w="2644" w:type="pct"/>
          </w:tcPr>
          <w:p w14:paraId="6869C11C" w14:textId="6B73CC9E" w:rsidR="00CE3EE5" w:rsidRPr="00322AD9" w:rsidRDefault="00E36BDE" w:rsidP="00CE3EE5">
            <w:r>
              <w:t>No</w:t>
            </w:r>
            <w:r w:rsidR="003A0FC0">
              <w:t xml:space="preserve"> – </w:t>
            </w:r>
            <w:r>
              <w:t xml:space="preserve">while </w:t>
            </w:r>
            <w:r w:rsidR="003A0FC0" w:rsidRPr="003A0FC0">
              <w:t>it changes the characteristics of the product supplied</w:t>
            </w:r>
            <w:r w:rsidR="005607D4">
              <w:t>,</w:t>
            </w:r>
            <w:r w:rsidR="003A0FC0" w:rsidRPr="003A0FC0">
              <w:t xml:space="preserve"> this does not limit the ability of suppliers to compete. </w:t>
            </w:r>
            <w:r w:rsidR="00564E17">
              <w:t>It is n</w:t>
            </w:r>
            <w:r w:rsidR="003A0FC0" w:rsidRPr="003A0FC0">
              <w:t xml:space="preserve">ot decisive in determining the competitive positioning of </w:t>
            </w:r>
            <w:r w:rsidR="00E85EC7">
              <w:t>suppliers</w:t>
            </w:r>
            <w:r w:rsidR="003A0FC0" w:rsidRPr="003A0FC0">
              <w:t>.</w:t>
            </w:r>
          </w:p>
        </w:tc>
      </w:tr>
      <w:tr w:rsidR="00CE3EE5" w:rsidRPr="0047268D" w14:paraId="350DE7F1" w14:textId="77777777" w:rsidTr="004B5E89">
        <w:tc>
          <w:tcPr>
            <w:tcW w:w="1255" w:type="pct"/>
            <w:vMerge/>
          </w:tcPr>
          <w:p w14:paraId="385A79E5" w14:textId="77777777" w:rsidR="00CE3EE5" w:rsidRPr="00D47C36" w:rsidRDefault="00CE3EE5" w:rsidP="00CE3EE5">
            <w:pPr>
              <w:rPr>
                <w:b/>
                <w:bCs/>
              </w:rPr>
            </w:pPr>
          </w:p>
        </w:tc>
        <w:tc>
          <w:tcPr>
            <w:tcW w:w="1101" w:type="pct"/>
          </w:tcPr>
          <w:p w14:paraId="020324FB" w14:textId="17CE9E30" w:rsidR="00CE3EE5" w:rsidRDefault="00CE3EE5" w:rsidP="00CE3EE5">
            <w:r>
              <w:t>Fortification at 15%</w:t>
            </w:r>
          </w:p>
        </w:tc>
        <w:tc>
          <w:tcPr>
            <w:tcW w:w="2644" w:type="pct"/>
          </w:tcPr>
          <w:p w14:paraId="4DAE5C0B" w14:textId="3B818913" w:rsidR="00CE3EE5" w:rsidRPr="00322AD9" w:rsidRDefault="00564E17" w:rsidP="00CE3EE5">
            <w:r>
              <w:t xml:space="preserve">No – while </w:t>
            </w:r>
            <w:r w:rsidRPr="003A0FC0">
              <w:t>it changes the characteristics of the product supplied</w:t>
            </w:r>
            <w:r>
              <w:t>,</w:t>
            </w:r>
            <w:r w:rsidRPr="003A0FC0">
              <w:t xml:space="preserve"> this does not limit the ability of suppliers to compete. </w:t>
            </w:r>
            <w:r w:rsidR="00E85EC7">
              <w:t>It is n</w:t>
            </w:r>
            <w:r w:rsidR="00E85EC7" w:rsidRPr="003A0FC0">
              <w:t xml:space="preserve">ot decisive in determining the competitive positioning of </w:t>
            </w:r>
            <w:r w:rsidR="00E85EC7">
              <w:t>suppliers</w:t>
            </w:r>
            <w:r w:rsidR="00E85EC7" w:rsidRPr="003A0FC0">
              <w:t>.</w:t>
            </w:r>
          </w:p>
        </w:tc>
      </w:tr>
      <w:tr w:rsidR="00CE3EE5" w:rsidRPr="0047268D" w14:paraId="0B8EDF62" w14:textId="77777777" w:rsidTr="004B5E89">
        <w:tc>
          <w:tcPr>
            <w:tcW w:w="1255" w:type="pct"/>
            <w:vMerge/>
          </w:tcPr>
          <w:p w14:paraId="1C2D6179" w14:textId="77777777" w:rsidR="00CE3EE5" w:rsidRPr="00D47C36" w:rsidRDefault="00CE3EE5" w:rsidP="00CE3EE5">
            <w:pPr>
              <w:rPr>
                <w:b/>
                <w:bCs/>
              </w:rPr>
            </w:pPr>
          </w:p>
        </w:tc>
        <w:tc>
          <w:tcPr>
            <w:tcW w:w="1101" w:type="pct"/>
          </w:tcPr>
          <w:p w14:paraId="14012146" w14:textId="6C97448B" w:rsidR="00CE3EE5" w:rsidRDefault="00CE3EE5" w:rsidP="00CE3EE5">
            <w:r>
              <w:t>Calcium specification</w:t>
            </w:r>
          </w:p>
        </w:tc>
        <w:tc>
          <w:tcPr>
            <w:tcW w:w="2644" w:type="pct"/>
          </w:tcPr>
          <w:p w14:paraId="0A662465" w14:textId="3BAD449F" w:rsidR="00CE3EE5" w:rsidRPr="00322AD9" w:rsidRDefault="00564E17" w:rsidP="00CE3EE5">
            <w:r>
              <w:t xml:space="preserve">No – while </w:t>
            </w:r>
            <w:r w:rsidRPr="003A0FC0">
              <w:t>it changes the characteristics of the product supplied</w:t>
            </w:r>
            <w:r>
              <w:t>,</w:t>
            </w:r>
            <w:r w:rsidRPr="003A0FC0">
              <w:t xml:space="preserve"> this does not limit the ability of suppliers to compete. </w:t>
            </w:r>
            <w:r w:rsidR="00E85EC7">
              <w:t>It is n</w:t>
            </w:r>
            <w:r w:rsidR="00E85EC7" w:rsidRPr="003A0FC0">
              <w:t xml:space="preserve">ot decisive in determining the competitive positioning of </w:t>
            </w:r>
            <w:r w:rsidR="00E85EC7">
              <w:t>suppliers</w:t>
            </w:r>
            <w:r w:rsidR="00E85EC7" w:rsidRPr="003A0FC0">
              <w:t>.</w:t>
            </w:r>
          </w:p>
        </w:tc>
      </w:tr>
      <w:tr w:rsidR="00CE3EE5" w:rsidRPr="0047268D" w14:paraId="1E6BE176" w14:textId="77777777" w:rsidTr="004B5E89">
        <w:tc>
          <w:tcPr>
            <w:tcW w:w="1255" w:type="pct"/>
            <w:vMerge/>
          </w:tcPr>
          <w:p w14:paraId="389FBABF" w14:textId="77777777" w:rsidR="00CE3EE5" w:rsidRPr="00D47C36" w:rsidRDefault="00CE3EE5" w:rsidP="00CE3EE5">
            <w:pPr>
              <w:rPr>
                <w:b/>
                <w:bCs/>
              </w:rPr>
            </w:pPr>
          </w:p>
        </w:tc>
        <w:tc>
          <w:tcPr>
            <w:tcW w:w="1101" w:type="pct"/>
          </w:tcPr>
          <w:p w14:paraId="62CC0874" w14:textId="022D6FAD" w:rsidR="00CE3EE5" w:rsidRDefault="00CE3EE5" w:rsidP="00CE3EE5">
            <w:r>
              <w:t>Wheat definition</w:t>
            </w:r>
          </w:p>
        </w:tc>
        <w:tc>
          <w:tcPr>
            <w:tcW w:w="2644" w:type="pct"/>
          </w:tcPr>
          <w:p w14:paraId="486D2687" w14:textId="42E295E6" w:rsidR="00CE3EE5" w:rsidRPr="00322AD9" w:rsidRDefault="0074723D" w:rsidP="00CE3EE5">
            <w:r>
              <w:t>No.</w:t>
            </w:r>
          </w:p>
        </w:tc>
      </w:tr>
      <w:tr w:rsidR="008E5124" w:rsidRPr="0047268D" w14:paraId="34A3B28F" w14:textId="77777777">
        <w:trPr>
          <w:trHeight w:val="893"/>
        </w:trPr>
        <w:tc>
          <w:tcPr>
            <w:tcW w:w="1255" w:type="pct"/>
            <w:vMerge/>
          </w:tcPr>
          <w:p w14:paraId="5E017B31" w14:textId="77777777" w:rsidR="008E5124" w:rsidRPr="00D47C36" w:rsidRDefault="008E5124" w:rsidP="00CE3EE5">
            <w:pPr>
              <w:rPr>
                <w:b/>
                <w:bCs/>
              </w:rPr>
            </w:pPr>
          </w:p>
        </w:tc>
        <w:tc>
          <w:tcPr>
            <w:tcW w:w="1101" w:type="pct"/>
          </w:tcPr>
          <w:p w14:paraId="23102F38" w14:textId="77777777" w:rsidR="008E5124" w:rsidRDefault="008E5124" w:rsidP="00CE3EE5">
            <w:r>
              <w:t>Small-scale miller exemption</w:t>
            </w:r>
          </w:p>
          <w:p w14:paraId="79E00101" w14:textId="0237724C" w:rsidR="008E5124" w:rsidRDefault="008E5124" w:rsidP="00CE3EE5"/>
        </w:tc>
        <w:tc>
          <w:tcPr>
            <w:tcW w:w="2644" w:type="pct"/>
          </w:tcPr>
          <w:p w14:paraId="160B5788" w14:textId="77777777" w:rsidR="008E5124" w:rsidRPr="00322AD9" w:rsidRDefault="008E5124" w:rsidP="00CE3EE5">
            <w:r>
              <w:t>No.</w:t>
            </w:r>
          </w:p>
          <w:p w14:paraId="21938D62" w14:textId="24287DF1" w:rsidR="008E5124" w:rsidRPr="00322AD9" w:rsidRDefault="008E5124" w:rsidP="00CE3EE5"/>
        </w:tc>
      </w:tr>
      <w:tr w:rsidR="0086483A" w:rsidRPr="0047268D" w14:paraId="0D01EE5B" w14:textId="77777777" w:rsidTr="004B5E89">
        <w:tc>
          <w:tcPr>
            <w:tcW w:w="1255" w:type="pct"/>
            <w:vMerge w:val="restart"/>
          </w:tcPr>
          <w:p w14:paraId="3F9832B2" w14:textId="4C74E9CF" w:rsidR="0086483A" w:rsidRPr="00BE6754" w:rsidRDefault="0086483A" w:rsidP="0086483A">
            <w:pPr>
              <w:rPr>
                <w:b/>
                <w:bCs/>
              </w:rPr>
            </w:pPr>
            <w:r w:rsidRPr="00BE6754">
              <w:rPr>
                <w:b/>
                <w:bCs/>
              </w:rPr>
              <w:t>Q3. Will the measure limit suppliers’ incentives to compete vigorously?</w:t>
            </w:r>
          </w:p>
        </w:tc>
        <w:tc>
          <w:tcPr>
            <w:tcW w:w="1101" w:type="pct"/>
          </w:tcPr>
          <w:p w14:paraId="4CDD9C7F" w14:textId="57ADAFCF" w:rsidR="0086483A" w:rsidRDefault="0086483A" w:rsidP="0086483A">
            <w:r>
              <w:t>Folic acid</w:t>
            </w:r>
          </w:p>
        </w:tc>
        <w:tc>
          <w:tcPr>
            <w:tcW w:w="2644" w:type="pct"/>
          </w:tcPr>
          <w:p w14:paraId="6CC99910" w14:textId="0C263393" w:rsidR="0086483A" w:rsidRPr="00322AD9" w:rsidRDefault="0086483A" w:rsidP="0086483A">
            <w:r w:rsidRPr="00202B59">
              <w:t>No.</w:t>
            </w:r>
          </w:p>
        </w:tc>
      </w:tr>
      <w:tr w:rsidR="0086483A" w:rsidRPr="0047268D" w14:paraId="166338E9" w14:textId="77777777" w:rsidTr="004B5E89">
        <w:tc>
          <w:tcPr>
            <w:tcW w:w="1255" w:type="pct"/>
            <w:vMerge/>
          </w:tcPr>
          <w:p w14:paraId="73DB4C02" w14:textId="77777777" w:rsidR="0086483A" w:rsidRPr="00D47C36" w:rsidRDefault="0086483A" w:rsidP="0086483A">
            <w:pPr>
              <w:rPr>
                <w:b/>
                <w:bCs/>
              </w:rPr>
            </w:pPr>
          </w:p>
        </w:tc>
        <w:tc>
          <w:tcPr>
            <w:tcW w:w="1101" w:type="pct"/>
          </w:tcPr>
          <w:p w14:paraId="3EFFCB42" w14:textId="3D3E6F0B" w:rsidR="0086483A" w:rsidRDefault="0086483A" w:rsidP="0086483A">
            <w:r>
              <w:t>Fortification at 15%</w:t>
            </w:r>
          </w:p>
        </w:tc>
        <w:tc>
          <w:tcPr>
            <w:tcW w:w="2644" w:type="pct"/>
          </w:tcPr>
          <w:p w14:paraId="7625776B" w14:textId="309554FC" w:rsidR="0086483A" w:rsidRPr="00322AD9" w:rsidRDefault="0086483A" w:rsidP="0086483A">
            <w:r w:rsidRPr="00202B59">
              <w:t>No.</w:t>
            </w:r>
          </w:p>
        </w:tc>
      </w:tr>
      <w:tr w:rsidR="0086483A" w:rsidRPr="0047268D" w14:paraId="39E22978" w14:textId="77777777" w:rsidTr="004B5E89">
        <w:tc>
          <w:tcPr>
            <w:tcW w:w="1255" w:type="pct"/>
            <w:vMerge/>
          </w:tcPr>
          <w:p w14:paraId="56A38D60" w14:textId="77777777" w:rsidR="0086483A" w:rsidRPr="00D47C36" w:rsidRDefault="0086483A" w:rsidP="0086483A">
            <w:pPr>
              <w:rPr>
                <w:b/>
                <w:bCs/>
              </w:rPr>
            </w:pPr>
          </w:p>
        </w:tc>
        <w:tc>
          <w:tcPr>
            <w:tcW w:w="1101" w:type="pct"/>
          </w:tcPr>
          <w:p w14:paraId="5B73800E" w14:textId="1F36C07B" w:rsidR="0086483A" w:rsidRDefault="0086483A" w:rsidP="0086483A">
            <w:r>
              <w:t>Calcium specification</w:t>
            </w:r>
          </w:p>
        </w:tc>
        <w:tc>
          <w:tcPr>
            <w:tcW w:w="2644" w:type="pct"/>
          </w:tcPr>
          <w:p w14:paraId="79046D4D" w14:textId="6BEA256E" w:rsidR="0086483A" w:rsidRPr="00322AD9" w:rsidRDefault="0086483A" w:rsidP="0086483A">
            <w:r w:rsidRPr="00202B59">
              <w:t>No.</w:t>
            </w:r>
          </w:p>
        </w:tc>
      </w:tr>
      <w:tr w:rsidR="0086483A" w:rsidRPr="0047268D" w14:paraId="4A1170CB" w14:textId="77777777" w:rsidTr="004B5E89">
        <w:tc>
          <w:tcPr>
            <w:tcW w:w="1255" w:type="pct"/>
            <w:vMerge/>
          </w:tcPr>
          <w:p w14:paraId="424D1CA2" w14:textId="77777777" w:rsidR="0086483A" w:rsidRPr="00D47C36" w:rsidRDefault="0086483A" w:rsidP="0086483A">
            <w:pPr>
              <w:rPr>
                <w:b/>
                <w:bCs/>
              </w:rPr>
            </w:pPr>
          </w:p>
        </w:tc>
        <w:tc>
          <w:tcPr>
            <w:tcW w:w="1101" w:type="pct"/>
          </w:tcPr>
          <w:p w14:paraId="23505D2D" w14:textId="1282ED1A" w:rsidR="0086483A" w:rsidRDefault="0086483A" w:rsidP="0086483A">
            <w:r>
              <w:t>Wheat definition</w:t>
            </w:r>
          </w:p>
        </w:tc>
        <w:tc>
          <w:tcPr>
            <w:tcW w:w="2644" w:type="pct"/>
          </w:tcPr>
          <w:p w14:paraId="5D135785" w14:textId="10AADDA8" w:rsidR="0086483A" w:rsidRPr="00322AD9" w:rsidRDefault="0086483A" w:rsidP="0086483A">
            <w:r w:rsidRPr="00202B59">
              <w:t>No.</w:t>
            </w:r>
          </w:p>
        </w:tc>
      </w:tr>
      <w:tr w:rsidR="008B6AEF" w:rsidRPr="0047268D" w14:paraId="2AB43819" w14:textId="77777777">
        <w:trPr>
          <w:trHeight w:val="893"/>
        </w:trPr>
        <w:tc>
          <w:tcPr>
            <w:tcW w:w="1255" w:type="pct"/>
            <w:vMerge/>
          </w:tcPr>
          <w:p w14:paraId="06C477AA" w14:textId="77777777" w:rsidR="008B6AEF" w:rsidRPr="00D47C36" w:rsidRDefault="008B6AEF" w:rsidP="0086483A">
            <w:pPr>
              <w:rPr>
                <w:b/>
                <w:bCs/>
              </w:rPr>
            </w:pPr>
          </w:p>
        </w:tc>
        <w:tc>
          <w:tcPr>
            <w:tcW w:w="1101" w:type="pct"/>
          </w:tcPr>
          <w:p w14:paraId="24C75DE7" w14:textId="77777777" w:rsidR="008B6AEF" w:rsidRDefault="008B6AEF" w:rsidP="0086483A">
            <w:r>
              <w:t>Small-scale miller exemption</w:t>
            </w:r>
          </w:p>
          <w:p w14:paraId="3A2F71C0" w14:textId="40744019" w:rsidR="008B6AEF" w:rsidRDefault="008B6AEF" w:rsidP="0086483A"/>
        </w:tc>
        <w:tc>
          <w:tcPr>
            <w:tcW w:w="2644" w:type="pct"/>
          </w:tcPr>
          <w:p w14:paraId="0F2990D4" w14:textId="77777777" w:rsidR="008B6AEF" w:rsidRPr="00322AD9" w:rsidRDefault="008B6AEF" w:rsidP="0086483A">
            <w:r w:rsidRPr="00202B59">
              <w:t>No.</w:t>
            </w:r>
          </w:p>
          <w:p w14:paraId="492BA70B" w14:textId="46CBDCBE" w:rsidR="008B6AEF" w:rsidRPr="00322AD9" w:rsidRDefault="008B6AEF" w:rsidP="0086483A"/>
        </w:tc>
      </w:tr>
      <w:tr w:rsidR="0086483A" w:rsidRPr="0047268D" w14:paraId="62E35150" w14:textId="77777777" w:rsidTr="004B5E89">
        <w:tc>
          <w:tcPr>
            <w:tcW w:w="1255" w:type="pct"/>
            <w:vMerge w:val="restart"/>
          </w:tcPr>
          <w:p w14:paraId="0A05DF50" w14:textId="4FF63914" w:rsidR="0086483A" w:rsidRPr="00D47C36" w:rsidRDefault="0086483A" w:rsidP="0086483A">
            <w:pPr>
              <w:rPr>
                <w:b/>
                <w:bCs/>
              </w:rPr>
            </w:pPr>
            <w:r w:rsidRPr="00CA7E1F">
              <w:rPr>
                <w:b/>
                <w:bCs/>
              </w:rPr>
              <w:t xml:space="preserve">Q4: </w:t>
            </w:r>
            <w:r>
              <w:rPr>
                <w:b/>
                <w:bCs/>
              </w:rPr>
              <w:t>W</w:t>
            </w:r>
            <w:r w:rsidRPr="00CA7E1F">
              <w:rPr>
                <w:b/>
                <w:bCs/>
              </w:rPr>
              <w:t>ill the measure limit the choices and information available to consumers</w:t>
            </w:r>
            <w:r>
              <w:rPr>
                <w:b/>
                <w:bCs/>
              </w:rPr>
              <w:t>?</w:t>
            </w:r>
          </w:p>
        </w:tc>
        <w:tc>
          <w:tcPr>
            <w:tcW w:w="1101" w:type="pct"/>
          </w:tcPr>
          <w:p w14:paraId="1E54A933" w14:textId="1440C46F" w:rsidR="0086483A" w:rsidRDefault="0086483A" w:rsidP="0086483A">
            <w:r>
              <w:t>Folic acid</w:t>
            </w:r>
          </w:p>
        </w:tc>
        <w:tc>
          <w:tcPr>
            <w:tcW w:w="2644" w:type="pct"/>
          </w:tcPr>
          <w:p w14:paraId="30EBD8A7" w14:textId="57028184" w:rsidR="0086483A" w:rsidRPr="00322AD9" w:rsidRDefault="0086483A" w:rsidP="0086483A">
            <w:r w:rsidRPr="009B457E">
              <w:t>No.</w:t>
            </w:r>
          </w:p>
        </w:tc>
      </w:tr>
      <w:tr w:rsidR="0086483A" w:rsidRPr="0047268D" w14:paraId="0C05B575" w14:textId="77777777" w:rsidTr="004B5E89">
        <w:tc>
          <w:tcPr>
            <w:tcW w:w="1255" w:type="pct"/>
            <w:vMerge/>
          </w:tcPr>
          <w:p w14:paraId="597B1B68" w14:textId="77777777" w:rsidR="0086483A" w:rsidRPr="00D47C36" w:rsidRDefault="0086483A" w:rsidP="0086483A">
            <w:pPr>
              <w:rPr>
                <w:b/>
                <w:bCs/>
              </w:rPr>
            </w:pPr>
          </w:p>
        </w:tc>
        <w:tc>
          <w:tcPr>
            <w:tcW w:w="1101" w:type="pct"/>
          </w:tcPr>
          <w:p w14:paraId="62D74656" w14:textId="13BC877B" w:rsidR="0086483A" w:rsidRDefault="0086483A" w:rsidP="0086483A">
            <w:r>
              <w:t>Fortification at 15%</w:t>
            </w:r>
          </w:p>
        </w:tc>
        <w:tc>
          <w:tcPr>
            <w:tcW w:w="2644" w:type="pct"/>
          </w:tcPr>
          <w:p w14:paraId="77B23E1C" w14:textId="162F797A" w:rsidR="0086483A" w:rsidRPr="00322AD9" w:rsidRDefault="0086483A" w:rsidP="0086483A">
            <w:r w:rsidRPr="009B457E">
              <w:t>No.</w:t>
            </w:r>
          </w:p>
        </w:tc>
      </w:tr>
      <w:tr w:rsidR="0086483A" w:rsidRPr="0047268D" w14:paraId="3CA8213C" w14:textId="77777777" w:rsidTr="004B5E89">
        <w:tc>
          <w:tcPr>
            <w:tcW w:w="1255" w:type="pct"/>
            <w:vMerge/>
          </w:tcPr>
          <w:p w14:paraId="77ADA5AE" w14:textId="77777777" w:rsidR="0086483A" w:rsidRPr="00D47C36" w:rsidRDefault="0086483A" w:rsidP="0086483A">
            <w:pPr>
              <w:rPr>
                <w:b/>
                <w:bCs/>
              </w:rPr>
            </w:pPr>
          </w:p>
        </w:tc>
        <w:tc>
          <w:tcPr>
            <w:tcW w:w="1101" w:type="pct"/>
          </w:tcPr>
          <w:p w14:paraId="5BB9F487" w14:textId="42A63327" w:rsidR="0086483A" w:rsidRDefault="0086483A" w:rsidP="0086483A">
            <w:r>
              <w:t>Calcium specification</w:t>
            </w:r>
          </w:p>
        </w:tc>
        <w:tc>
          <w:tcPr>
            <w:tcW w:w="2644" w:type="pct"/>
          </w:tcPr>
          <w:p w14:paraId="07E6CF37" w14:textId="3653EC9A" w:rsidR="0086483A" w:rsidRPr="00322AD9" w:rsidRDefault="0086483A" w:rsidP="0086483A">
            <w:r w:rsidRPr="009B457E">
              <w:t>No.</w:t>
            </w:r>
          </w:p>
        </w:tc>
      </w:tr>
      <w:tr w:rsidR="0086483A" w:rsidRPr="0047268D" w14:paraId="12DC1A2F" w14:textId="77777777" w:rsidTr="004B5E89">
        <w:tc>
          <w:tcPr>
            <w:tcW w:w="1255" w:type="pct"/>
            <w:vMerge/>
          </w:tcPr>
          <w:p w14:paraId="7060F859" w14:textId="77777777" w:rsidR="0086483A" w:rsidRPr="00D47C36" w:rsidRDefault="0086483A" w:rsidP="0086483A">
            <w:pPr>
              <w:rPr>
                <w:b/>
                <w:bCs/>
              </w:rPr>
            </w:pPr>
          </w:p>
        </w:tc>
        <w:tc>
          <w:tcPr>
            <w:tcW w:w="1101" w:type="pct"/>
          </w:tcPr>
          <w:p w14:paraId="53246458" w14:textId="7D054538" w:rsidR="0086483A" w:rsidRDefault="0086483A" w:rsidP="0086483A">
            <w:r>
              <w:t>Wheat definition</w:t>
            </w:r>
          </w:p>
        </w:tc>
        <w:tc>
          <w:tcPr>
            <w:tcW w:w="2644" w:type="pct"/>
          </w:tcPr>
          <w:p w14:paraId="362A611B" w14:textId="4CA89B06" w:rsidR="0086483A" w:rsidRPr="00322AD9" w:rsidRDefault="0086483A" w:rsidP="0086483A">
            <w:r w:rsidRPr="009B457E">
              <w:t>No.</w:t>
            </w:r>
          </w:p>
        </w:tc>
      </w:tr>
      <w:tr w:rsidR="008B6AEF" w:rsidRPr="0047268D" w14:paraId="1BC4EAB7" w14:textId="77777777">
        <w:trPr>
          <w:trHeight w:val="893"/>
        </w:trPr>
        <w:tc>
          <w:tcPr>
            <w:tcW w:w="1255" w:type="pct"/>
            <w:vMerge/>
          </w:tcPr>
          <w:p w14:paraId="62BE5186" w14:textId="77777777" w:rsidR="008B6AEF" w:rsidRPr="00D47C36" w:rsidRDefault="008B6AEF" w:rsidP="0086483A">
            <w:pPr>
              <w:rPr>
                <w:b/>
                <w:bCs/>
              </w:rPr>
            </w:pPr>
          </w:p>
        </w:tc>
        <w:tc>
          <w:tcPr>
            <w:tcW w:w="1101" w:type="pct"/>
          </w:tcPr>
          <w:p w14:paraId="3E335095" w14:textId="77777777" w:rsidR="008B6AEF" w:rsidRDefault="008B6AEF" w:rsidP="0086483A">
            <w:r>
              <w:t>Small-scale miller exemption</w:t>
            </w:r>
          </w:p>
          <w:p w14:paraId="3A4A6842" w14:textId="15E040D0" w:rsidR="008B6AEF" w:rsidRDefault="008B6AEF" w:rsidP="0086483A"/>
        </w:tc>
        <w:tc>
          <w:tcPr>
            <w:tcW w:w="2644" w:type="pct"/>
          </w:tcPr>
          <w:p w14:paraId="10053FBB" w14:textId="77777777" w:rsidR="008B6AEF" w:rsidRPr="00322AD9" w:rsidRDefault="008B6AEF" w:rsidP="0086483A">
            <w:r w:rsidRPr="009B457E">
              <w:t>No.</w:t>
            </w:r>
          </w:p>
          <w:p w14:paraId="538E7901" w14:textId="57233298" w:rsidR="008B6AEF" w:rsidRPr="00322AD9" w:rsidRDefault="008B6AEF" w:rsidP="0086483A"/>
        </w:tc>
      </w:tr>
    </w:tbl>
    <w:p w14:paraId="6BAFFF6E" w14:textId="77777777" w:rsidR="0049572C" w:rsidRPr="0049572C" w:rsidRDefault="0049572C" w:rsidP="0049572C"/>
    <w:p w14:paraId="6A8C6DAD" w14:textId="36084D4D" w:rsidR="00CD2ADB" w:rsidRDefault="6999E28E" w:rsidP="00DA0433">
      <w:pPr>
        <w:pStyle w:val="Heading2"/>
      </w:pPr>
      <w:bookmarkStart w:id="67" w:name="_Toc141427927"/>
      <w:bookmarkStart w:id="68" w:name="_Toc141428010"/>
      <w:r>
        <w:t xml:space="preserve">Will </w:t>
      </w:r>
      <w:r w:rsidR="59A20BE1">
        <w:t xml:space="preserve">the measure </w:t>
      </w:r>
      <w:r w:rsidR="4D7C1440">
        <w:t xml:space="preserve">directly or indirectly </w:t>
      </w:r>
      <w:r w:rsidR="59A20BE1">
        <w:t>limit the number o</w:t>
      </w:r>
      <w:r w:rsidR="4D7C1440">
        <w:t>r</w:t>
      </w:r>
      <w:r w:rsidR="59A20BE1">
        <w:t xml:space="preserve"> range of suppliers?</w:t>
      </w:r>
      <w:bookmarkEnd w:id="67"/>
      <w:bookmarkEnd w:id="68"/>
    </w:p>
    <w:p w14:paraId="6A16AA47" w14:textId="67B32675" w:rsidR="00EB7ED7" w:rsidRPr="008A22A9" w:rsidRDefault="008A22A9" w:rsidP="595AB009">
      <w:pPr>
        <w:pStyle w:val="Heading3"/>
        <w:numPr>
          <w:ilvl w:val="2"/>
          <w:numId w:val="0"/>
        </w:numPr>
        <w:rPr>
          <w:b w:val="0"/>
          <w:bCs w:val="0"/>
          <w:u w:val="single"/>
        </w:rPr>
      </w:pPr>
      <w:r w:rsidRPr="008A22A9">
        <w:rPr>
          <w:b w:val="0"/>
          <w:bCs w:val="0"/>
          <w:u w:val="single"/>
        </w:rPr>
        <w:t xml:space="preserve">7.2.1 </w:t>
      </w:r>
      <w:r w:rsidR="099B4C49" w:rsidRPr="008A22A9">
        <w:rPr>
          <w:b w:val="0"/>
          <w:bCs w:val="0"/>
          <w:u w:val="single"/>
        </w:rPr>
        <w:t>‘</w:t>
      </w:r>
      <w:r w:rsidR="42EDA4D2" w:rsidRPr="008A22A9">
        <w:rPr>
          <w:b w:val="0"/>
          <w:bCs w:val="0"/>
          <w:u w:val="single"/>
        </w:rPr>
        <w:t>Amend</w:t>
      </w:r>
      <w:r w:rsidR="42F5139E" w:rsidRPr="008A22A9">
        <w:rPr>
          <w:b w:val="0"/>
          <w:bCs w:val="0"/>
          <w:u w:val="single"/>
        </w:rPr>
        <w:t xml:space="preserve"> </w:t>
      </w:r>
      <w:r w:rsidR="2E906445" w:rsidRPr="008A22A9">
        <w:rPr>
          <w:b w:val="0"/>
          <w:bCs w:val="0"/>
          <w:u w:val="single"/>
        </w:rPr>
        <w:t xml:space="preserve">the </w:t>
      </w:r>
      <w:r w:rsidR="247D1813" w:rsidRPr="008A22A9">
        <w:rPr>
          <w:b w:val="0"/>
          <w:bCs w:val="0"/>
          <w:u w:val="single"/>
        </w:rPr>
        <w:t>Regulations to</w:t>
      </w:r>
      <w:r w:rsidR="42EDA4D2" w:rsidRPr="008A22A9">
        <w:rPr>
          <w:b w:val="0"/>
          <w:bCs w:val="0"/>
          <w:u w:val="single"/>
        </w:rPr>
        <w:t xml:space="preserve"> allow the fortification of flour with folic acid</w:t>
      </w:r>
      <w:r w:rsidR="099B4C49" w:rsidRPr="008A22A9">
        <w:rPr>
          <w:b w:val="0"/>
          <w:bCs w:val="0"/>
          <w:u w:val="single"/>
        </w:rPr>
        <w:t>’</w:t>
      </w:r>
    </w:p>
    <w:p w14:paraId="1626BABF" w14:textId="77777777" w:rsidR="0035332A" w:rsidRDefault="0035332A" w:rsidP="0035332A">
      <w:pPr>
        <w:spacing w:line="276" w:lineRule="auto"/>
      </w:pPr>
      <w:r w:rsidRPr="00E66CE4">
        <w:t>As Table 1 shows, current fortification costs are a small fraction of total production costs, with the additional cost of adding folic acid expected to be around £0.15 per tonne of flour (under the dosage conditions outlined in Table 1). This is comparable in magnitude to the cost of raising levels of other fortificants to 15% (£0.10-£0.16)</w:t>
      </w:r>
      <w:r w:rsidRPr="00E66CE4">
        <w:rPr>
          <w:vertAlign w:val="superscript"/>
        </w:rPr>
        <w:footnoteReference w:id="3"/>
      </w:r>
      <w:r w:rsidRPr="00E66CE4">
        <w:t>. Therefore, the additional cost of including folic acid is likely to be very small, and as such is unlikely to influence business behaviour or strategy.</w:t>
      </w:r>
    </w:p>
    <w:p w14:paraId="66D6E5FC" w14:textId="77777777" w:rsidR="0035332A" w:rsidRPr="00E66CE4" w:rsidRDefault="0035332A" w:rsidP="0035332A">
      <w:pPr>
        <w:spacing w:line="276" w:lineRule="auto"/>
      </w:pPr>
    </w:p>
    <w:p w14:paraId="5D41E204" w14:textId="6E9C9F3B" w:rsidR="0035332A" w:rsidRPr="00E66CE4" w:rsidRDefault="466EA0E8" w:rsidP="0D8D2513">
      <w:pPr>
        <w:pStyle w:val="Caption"/>
        <w:rPr>
          <w:color w:val="auto"/>
        </w:rPr>
      </w:pPr>
      <w:bookmarkStart w:id="69" w:name="_Ref165474894"/>
      <w:r w:rsidRPr="0D8D2513">
        <w:rPr>
          <w:color w:val="auto"/>
        </w:rPr>
        <w:t xml:space="preserve">Table </w:t>
      </w:r>
      <w:r w:rsidR="0035332A">
        <w:fldChar w:fldCharType="begin"/>
      </w:r>
      <w:r w:rsidR="0035332A">
        <w:instrText xml:space="preserve"> SEQ Table \* ARABIC </w:instrText>
      </w:r>
      <w:r w:rsidR="0035332A">
        <w:fldChar w:fldCharType="separate"/>
      </w:r>
      <w:r w:rsidR="37C08288" w:rsidRPr="0D8D2513">
        <w:rPr>
          <w:noProof/>
        </w:rPr>
        <w:t>4</w:t>
      </w:r>
      <w:r w:rsidR="0035332A">
        <w:fldChar w:fldCharType="end"/>
      </w:r>
      <w:bookmarkEnd w:id="69"/>
      <w:r w:rsidRPr="0D8D2513">
        <w:rPr>
          <w:color w:val="auto"/>
        </w:rPr>
        <w:t>: Indicative costs of added nutrients to flour</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6888"/>
        <w:gridCol w:w="2858"/>
      </w:tblGrid>
      <w:tr w:rsidR="0035332A" w:rsidRPr="00E66CE4" w14:paraId="3166B0A9" w14:textId="77777777" w:rsidTr="004B5E89">
        <w:tc>
          <w:tcPr>
            <w:tcW w:w="3534" w:type="pct"/>
            <w:tcBorders>
              <w:top w:val="single" w:sz="4" w:space="0" w:color="auto"/>
              <w:bottom w:val="single" w:sz="4" w:space="0" w:color="auto"/>
            </w:tcBorders>
          </w:tcPr>
          <w:p w14:paraId="43889BC1" w14:textId="77777777" w:rsidR="0035332A" w:rsidRPr="00E66CE4" w:rsidRDefault="0035332A" w:rsidP="00100744">
            <w:pPr>
              <w:spacing w:line="276" w:lineRule="auto"/>
              <w:rPr>
                <w:b/>
                <w:bCs/>
              </w:rPr>
            </w:pPr>
            <w:r w:rsidRPr="00E66CE4">
              <w:rPr>
                <w:b/>
                <w:bCs/>
              </w:rPr>
              <w:t>Cost</w:t>
            </w:r>
          </w:p>
        </w:tc>
        <w:tc>
          <w:tcPr>
            <w:tcW w:w="1466" w:type="pct"/>
            <w:tcBorders>
              <w:top w:val="single" w:sz="4" w:space="0" w:color="auto"/>
              <w:bottom w:val="single" w:sz="4" w:space="0" w:color="auto"/>
            </w:tcBorders>
          </w:tcPr>
          <w:p w14:paraId="6ACC0EF5" w14:textId="77777777" w:rsidR="0035332A" w:rsidRPr="00E66CE4" w:rsidRDefault="0035332A" w:rsidP="00100744">
            <w:pPr>
              <w:spacing w:line="276" w:lineRule="auto"/>
              <w:rPr>
                <w:b/>
                <w:bCs/>
              </w:rPr>
            </w:pPr>
            <w:r>
              <w:rPr>
                <w:b/>
                <w:bCs/>
              </w:rPr>
              <w:t>£ per tonne of flour</w:t>
            </w:r>
          </w:p>
        </w:tc>
      </w:tr>
      <w:tr w:rsidR="0035332A" w:rsidRPr="00E66CE4" w14:paraId="30291C2A" w14:textId="77777777" w:rsidTr="004B5E89">
        <w:tc>
          <w:tcPr>
            <w:tcW w:w="3534" w:type="pct"/>
            <w:tcBorders>
              <w:top w:val="single" w:sz="4" w:space="0" w:color="auto"/>
            </w:tcBorders>
            <w:shd w:val="clear" w:color="auto" w:fill="E2F4EA"/>
          </w:tcPr>
          <w:p w14:paraId="4B940D59" w14:textId="77777777" w:rsidR="0035332A" w:rsidRPr="00E66CE4" w:rsidRDefault="0035332A" w:rsidP="00100744">
            <w:pPr>
              <w:spacing w:line="276" w:lineRule="auto"/>
            </w:pPr>
            <w:r w:rsidRPr="00E66CE4">
              <w:t>Cost of premix compliant with the levels specified in the Bread and Flour Regulations</w:t>
            </w:r>
          </w:p>
        </w:tc>
        <w:tc>
          <w:tcPr>
            <w:tcW w:w="1466" w:type="pct"/>
            <w:tcBorders>
              <w:top w:val="single" w:sz="4" w:space="0" w:color="auto"/>
            </w:tcBorders>
            <w:shd w:val="clear" w:color="auto" w:fill="E2F4EA"/>
          </w:tcPr>
          <w:p w14:paraId="09D0F3E4" w14:textId="77777777" w:rsidR="0035332A" w:rsidRPr="00E66CE4" w:rsidRDefault="0035332A" w:rsidP="00100744">
            <w:pPr>
              <w:spacing w:line="276" w:lineRule="auto"/>
            </w:pPr>
            <w:r w:rsidRPr="00E66CE4">
              <w:t>£1.20</w:t>
            </w:r>
          </w:p>
        </w:tc>
      </w:tr>
      <w:tr w:rsidR="0035332A" w:rsidRPr="00E66CE4" w14:paraId="410BAD63" w14:textId="77777777" w:rsidTr="004B5E89">
        <w:tc>
          <w:tcPr>
            <w:tcW w:w="3534" w:type="pct"/>
          </w:tcPr>
          <w:p w14:paraId="342A42C9" w14:textId="77777777" w:rsidR="0035332A" w:rsidRPr="00E66CE4" w:rsidRDefault="0035332A" w:rsidP="00100744">
            <w:pPr>
              <w:spacing w:line="276" w:lineRule="auto"/>
            </w:pPr>
            <w:r w:rsidRPr="00E66CE4">
              <w:t>Cost of premix with calcium, iron and niacin levels raised to 15% NRV</w:t>
            </w:r>
          </w:p>
        </w:tc>
        <w:tc>
          <w:tcPr>
            <w:tcW w:w="1466" w:type="pct"/>
          </w:tcPr>
          <w:p w14:paraId="5450F674" w14:textId="77777777" w:rsidR="0035332A" w:rsidRPr="00E66CE4" w:rsidRDefault="0035332A" w:rsidP="00100744">
            <w:pPr>
              <w:spacing w:line="276" w:lineRule="auto"/>
            </w:pPr>
            <w:r w:rsidRPr="00E66CE4">
              <w:t>£1.30</w:t>
            </w:r>
            <w:r w:rsidRPr="004E56D7">
              <w:t xml:space="preserve"> to </w:t>
            </w:r>
            <w:r w:rsidRPr="00E66CE4">
              <w:t>£1.36</w:t>
            </w:r>
          </w:p>
        </w:tc>
      </w:tr>
      <w:tr w:rsidR="0035332A" w:rsidRPr="00E66CE4" w14:paraId="2FC97A05" w14:textId="77777777" w:rsidTr="004B5E89">
        <w:tc>
          <w:tcPr>
            <w:tcW w:w="3534" w:type="pct"/>
            <w:shd w:val="clear" w:color="auto" w:fill="E2F4EA" w:themeFill="accent6" w:themeFillTint="33"/>
          </w:tcPr>
          <w:p w14:paraId="7807825B" w14:textId="77777777" w:rsidR="0035332A" w:rsidRPr="00E66CE4" w:rsidRDefault="0035332A" w:rsidP="00100744">
            <w:pPr>
              <w:spacing w:line="276" w:lineRule="auto"/>
            </w:pPr>
            <w:r w:rsidRPr="00E66CE4">
              <w:t>On-cost to flour millers of raising the fortification level to 15% NRV</w:t>
            </w:r>
            <w:r w:rsidRPr="00E66CE4">
              <w:rPr>
                <w:vertAlign w:val="superscript"/>
              </w:rPr>
              <w:footnoteReference w:id="4"/>
            </w:r>
          </w:p>
        </w:tc>
        <w:tc>
          <w:tcPr>
            <w:tcW w:w="1466" w:type="pct"/>
            <w:shd w:val="clear" w:color="auto" w:fill="E2F4EA" w:themeFill="accent6" w:themeFillTint="33"/>
          </w:tcPr>
          <w:p w14:paraId="5320E3A1" w14:textId="77777777" w:rsidR="0035332A" w:rsidRPr="00E66CE4" w:rsidRDefault="0035332A" w:rsidP="00100744">
            <w:pPr>
              <w:spacing w:line="276" w:lineRule="auto"/>
            </w:pPr>
            <w:r w:rsidRPr="00E66CE4">
              <w:t>£0.10</w:t>
            </w:r>
            <w:r w:rsidRPr="004E56D7">
              <w:t xml:space="preserve"> to </w:t>
            </w:r>
            <w:r w:rsidRPr="00E66CE4">
              <w:t>£0.16</w:t>
            </w:r>
          </w:p>
        </w:tc>
      </w:tr>
      <w:tr w:rsidR="0035332A" w:rsidRPr="00E66CE4" w14:paraId="7C7669C2" w14:textId="77777777" w:rsidTr="004B5E89">
        <w:tc>
          <w:tcPr>
            <w:tcW w:w="3534" w:type="pct"/>
          </w:tcPr>
          <w:p w14:paraId="5F5AE62F" w14:textId="77777777" w:rsidR="0035332A" w:rsidRPr="00E66CE4" w:rsidRDefault="0035332A" w:rsidP="00100744">
            <w:pPr>
              <w:spacing w:line="276" w:lineRule="auto"/>
            </w:pPr>
            <w:r w:rsidRPr="00E66CE4">
              <w:t>On-cost to flour millers of premix including folic acid, dosed at 250g per tonne of flour</w:t>
            </w:r>
            <w:r w:rsidRPr="00E66CE4">
              <w:rPr>
                <w:vertAlign w:val="superscript"/>
              </w:rPr>
              <w:footnoteReference w:id="5"/>
            </w:r>
          </w:p>
        </w:tc>
        <w:tc>
          <w:tcPr>
            <w:tcW w:w="1466" w:type="pct"/>
          </w:tcPr>
          <w:p w14:paraId="3D3D8725" w14:textId="77777777" w:rsidR="0035332A" w:rsidRPr="00E66CE4" w:rsidRDefault="0035332A" w:rsidP="00100744">
            <w:pPr>
              <w:spacing w:line="276" w:lineRule="auto"/>
            </w:pPr>
            <w:r w:rsidRPr="00E66CE4">
              <w:t>£0.15</w:t>
            </w:r>
          </w:p>
        </w:tc>
      </w:tr>
    </w:tbl>
    <w:p w14:paraId="729E5582" w14:textId="77777777" w:rsidR="0035332A" w:rsidRPr="00E46734" w:rsidRDefault="0035332A" w:rsidP="0035332A"/>
    <w:p w14:paraId="0933D099" w14:textId="6BD6A511" w:rsidR="00EB7ED7" w:rsidRPr="008A22A9" w:rsidRDefault="008A22A9" w:rsidP="595AB009">
      <w:pPr>
        <w:pStyle w:val="Heading3"/>
        <w:numPr>
          <w:ilvl w:val="2"/>
          <w:numId w:val="0"/>
        </w:numPr>
        <w:rPr>
          <w:b w:val="0"/>
          <w:bCs w:val="0"/>
          <w:u w:val="single"/>
        </w:rPr>
      </w:pPr>
      <w:r w:rsidRPr="008A22A9">
        <w:rPr>
          <w:b w:val="0"/>
          <w:bCs w:val="0"/>
          <w:u w:val="single"/>
        </w:rPr>
        <w:t xml:space="preserve">7.2.2 </w:t>
      </w:r>
      <w:r w:rsidR="099B4C49" w:rsidRPr="008A22A9">
        <w:rPr>
          <w:b w:val="0"/>
          <w:bCs w:val="0"/>
          <w:u w:val="single"/>
        </w:rPr>
        <w:t>‘</w:t>
      </w:r>
      <w:r w:rsidR="3710C422" w:rsidRPr="008A22A9">
        <w:rPr>
          <w:b w:val="0"/>
          <w:bCs w:val="0"/>
          <w:u w:val="single"/>
        </w:rPr>
        <w:t xml:space="preserve">Amend </w:t>
      </w:r>
      <w:r w:rsidR="12CE0ABF" w:rsidRPr="008A22A9">
        <w:rPr>
          <w:b w:val="0"/>
          <w:bCs w:val="0"/>
          <w:u w:val="single"/>
        </w:rPr>
        <w:t xml:space="preserve">the </w:t>
      </w:r>
      <w:r w:rsidR="0F22EF2A" w:rsidRPr="008A22A9">
        <w:rPr>
          <w:b w:val="0"/>
          <w:bCs w:val="0"/>
          <w:u w:val="single"/>
        </w:rPr>
        <w:t>Regulations to</w:t>
      </w:r>
      <w:r w:rsidR="3710C422" w:rsidRPr="008A22A9">
        <w:rPr>
          <w:b w:val="0"/>
          <w:bCs w:val="0"/>
          <w:u w:val="single"/>
        </w:rPr>
        <w:t xml:space="preserve"> remove existing calcium carbonate criteria, requiring millers to comply with specification in Regulation 231/2012 instead</w:t>
      </w:r>
      <w:r w:rsidR="099B4C49" w:rsidRPr="008A22A9">
        <w:rPr>
          <w:b w:val="0"/>
          <w:bCs w:val="0"/>
          <w:u w:val="single"/>
        </w:rPr>
        <w:t>’</w:t>
      </w:r>
    </w:p>
    <w:p w14:paraId="33089986" w14:textId="224090C9" w:rsidR="00E66CE4" w:rsidRPr="00E66CE4" w:rsidRDefault="3B01210B" w:rsidP="00E66CE4">
      <w:pPr>
        <w:spacing w:line="276" w:lineRule="auto"/>
      </w:pPr>
      <w:r>
        <w:t xml:space="preserve">The removal of the distinct calcium specification provides flour millers with improved clarity on regulatory requirements. Unifying the calcium specification does leave flour millers with no choice but to purchase calcium carbonate from a sole supplier in France. However, we anticipate no additional competition impact as a result of the regulatory change. There is no realistic alternative supplier and there has not been since the closure of the UK calcium plant at Steeple Morden. The regulatory change is to keep pace with what is already happening in bread and flour markets, as in practice, premixes are already meeting the </w:t>
      </w:r>
      <w:r w:rsidR="7FFBD8CB">
        <w:t xml:space="preserve">revised </w:t>
      </w:r>
      <w:r>
        <w:t>requirements.</w:t>
      </w:r>
    </w:p>
    <w:p w14:paraId="0910DE0C" w14:textId="4F6B8AAB" w:rsidR="0030784C" w:rsidRPr="008A22A9" w:rsidRDefault="008A22A9" w:rsidP="595AB009">
      <w:pPr>
        <w:pStyle w:val="Heading3"/>
        <w:numPr>
          <w:ilvl w:val="2"/>
          <w:numId w:val="0"/>
        </w:numPr>
        <w:rPr>
          <w:b w:val="0"/>
          <w:bCs w:val="0"/>
          <w:color w:val="auto"/>
          <w:u w:val="single"/>
        </w:rPr>
      </w:pPr>
      <w:r w:rsidRPr="008A22A9">
        <w:rPr>
          <w:b w:val="0"/>
          <w:bCs w:val="0"/>
          <w:color w:val="auto"/>
          <w:u w:val="single"/>
        </w:rPr>
        <w:t xml:space="preserve">7.2.3 </w:t>
      </w:r>
      <w:r w:rsidR="099B4C49" w:rsidRPr="008A22A9">
        <w:rPr>
          <w:b w:val="0"/>
          <w:bCs w:val="0"/>
          <w:color w:val="auto"/>
          <w:u w:val="single"/>
        </w:rPr>
        <w:t>‘</w:t>
      </w:r>
      <w:r w:rsidR="42F5139E" w:rsidRPr="008A22A9">
        <w:rPr>
          <w:b w:val="0"/>
          <w:bCs w:val="0"/>
          <w:color w:val="auto"/>
          <w:u w:val="single"/>
        </w:rPr>
        <w:t xml:space="preserve">Amend </w:t>
      </w:r>
      <w:r w:rsidR="5EE14C22" w:rsidRPr="008A22A9">
        <w:rPr>
          <w:b w:val="0"/>
          <w:bCs w:val="0"/>
          <w:color w:val="auto"/>
          <w:u w:val="single"/>
        </w:rPr>
        <w:t xml:space="preserve">the </w:t>
      </w:r>
      <w:r w:rsidR="4E341638" w:rsidRPr="008A22A9">
        <w:rPr>
          <w:b w:val="0"/>
          <w:bCs w:val="0"/>
          <w:color w:val="auto"/>
          <w:u w:val="single"/>
        </w:rPr>
        <w:t>Regulations to</w:t>
      </w:r>
      <w:r w:rsidR="42F5139E" w:rsidRPr="008A22A9">
        <w:rPr>
          <w:b w:val="0"/>
          <w:bCs w:val="0"/>
          <w:color w:val="auto"/>
          <w:u w:val="single"/>
        </w:rPr>
        <w:t xml:space="preserve"> raise required fortificant levels to the 15% level required by overlapping legislation on the addition of vitamins and minerals to food generally</w:t>
      </w:r>
      <w:r w:rsidR="099B4C49" w:rsidRPr="008A22A9">
        <w:rPr>
          <w:b w:val="0"/>
          <w:bCs w:val="0"/>
          <w:color w:val="auto"/>
          <w:u w:val="single"/>
        </w:rPr>
        <w:t>’</w:t>
      </w:r>
    </w:p>
    <w:p w14:paraId="61B89995" w14:textId="087E405A" w:rsidR="00E66CE4" w:rsidRPr="00E66CE4" w:rsidRDefault="4D678F22" w:rsidP="00E66CE4">
      <w:pPr>
        <w:spacing w:line="276" w:lineRule="auto"/>
      </w:pPr>
      <w:r>
        <w:t xml:space="preserve">Fortification </w:t>
      </w:r>
      <w:r w:rsidR="237DC7C6">
        <w:t>has been</w:t>
      </w:r>
      <w:r>
        <w:t xml:space="preserve"> taking place </w:t>
      </w:r>
      <w:r w:rsidR="237DC7C6">
        <w:t xml:space="preserve">for some time as part of the existing </w:t>
      </w:r>
      <w:r w:rsidR="1D23C9A3">
        <w:t>requirements,</w:t>
      </w:r>
      <w:r w:rsidR="237DC7C6">
        <w:t xml:space="preserve"> ensuring minimum standards of fortification.</w:t>
      </w:r>
      <w:r>
        <w:t xml:space="preserve"> As this amendment seeks to formalise a new level of fortification, it is only expected to result in a small marginal increase in production costs, as shown in </w:t>
      </w:r>
      <w:r w:rsidR="380936A7">
        <w:fldChar w:fldCharType="begin"/>
      </w:r>
      <w:r w:rsidR="380936A7">
        <w:instrText xml:space="preserve"> REF _Ref165474894 \h </w:instrText>
      </w:r>
      <w:r w:rsidR="380936A7">
        <w:fldChar w:fldCharType="separate"/>
      </w:r>
      <w:r w:rsidR="6C089D16">
        <w:t xml:space="preserve">Table </w:t>
      </w:r>
      <w:r w:rsidR="6C089D16" w:rsidRPr="0D8D2513">
        <w:rPr>
          <w:noProof/>
        </w:rPr>
        <w:t>4</w:t>
      </w:r>
      <w:r w:rsidR="380936A7">
        <w:fldChar w:fldCharType="end"/>
      </w:r>
      <w:r>
        <w:t xml:space="preserve">. </w:t>
      </w:r>
      <w:r w:rsidR="145084C1">
        <w:t>The expected impact on costs is further reduced by the fact that 91% of premix sales in the UK are already compliant with Regulation 1925/2006, meaning this amendment has limited material impact on costs from an industry-wide perspective. Given these mitigations, and the fact that the costs affect all fortifying milling businesses equally, no discernible competition impact is expected</w:t>
      </w:r>
      <w:r>
        <w:t>.</w:t>
      </w:r>
    </w:p>
    <w:p w14:paraId="5B132DEB" w14:textId="7DA08712" w:rsidR="00660689" w:rsidRPr="008A22A9" w:rsidRDefault="008A22A9" w:rsidP="595AB009">
      <w:pPr>
        <w:pStyle w:val="Heading3"/>
        <w:numPr>
          <w:ilvl w:val="2"/>
          <w:numId w:val="0"/>
        </w:numPr>
        <w:rPr>
          <w:b w:val="0"/>
          <w:bCs w:val="0"/>
          <w:u w:val="single"/>
        </w:rPr>
      </w:pPr>
      <w:r w:rsidRPr="008A22A9">
        <w:rPr>
          <w:b w:val="0"/>
          <w:bCs w:val="0"/>
          <w:u w:val="single"/>
        </w:rPr>
        <w:t xml:space="preserve">7.2.4 </w:t>
      </w:r>
      <w:r w:rsidR="099B4C49" w:rsidRPr="008A22A9">
        <w:rPr>
          <w:b w:val="0"/>
          <w:bCs w:val="0"/>
          <w:u w:val="single"/>
        </w:rPr>
        <w:t>‘</w:t>
      </w:r>
      <w:r w:rsidR="607AE7EE" w:rsidRPr="008A22A9">
        <w:rPr>
          <w:b w:val="0"/>
          <w:bCs w:val="0"/>
          <w:u w:val="single"/>
        </w:rPr>
        <w:t xml:space="preserve">Amend </w:t>
      </w:r>
      <w:r w:rsidR="1A38B6BF" w:rsidRPr="008A22A9">
        <w:rPr>
          <w:b w:val="0"/>
          <w:bCs w:val="0"/>
          <w:u w:val="single"/>
        </w:rPr>
        <w:t>the Regulations</w:t>
      </w:r>
      <w:r w:rsidR="607AE7EE" w:rsidRPr="008A22A9">
        <w:rPr>
          <w:b w:val="0"/>
          <w:bCs w:val="0"/>
          <w:u w:val="single"/>
        </w:rPr>
        <w:t xml:space="preserve"> to introduce exemptions from all fortification requirements for</w:t>
      </w:r>
      <w:r w:rsidR="004E5AA5" w:rsidRPr="008A22A9">
        <w:rPr>
          <w:b w:val="0"/>
          <w:bCs w:val="0"/>
          <w:u w:val="single"/>
        </w:rPr>
        <w:t xml:space="preserve"> </w:t>
      </w:r>
      <w:r w:rsidR="607AE7EE" w:rsidRPr="008A22A9">
        <w:rPr>
          <w:b w:val="0"/>
          <w:bCs w:val="0"/>
          <w:u w:val="single"/>
        </w:rPr>
        <w:t>small-scale millers</w:t>
      </w:r>
      <w:r w:rsidR="099B4C49" w:rsidRPr="008A22A9">
        <w:rPr>
          <w:b w:val="0"/>
          <w:bCs w:val="0"/>
          <w:u w:val="single"/>
        </w:rPr>
        <w:t>’</w:t>
      </w:r>
    </w:p>
    <w:p w14:paraId="262F57F7" w14:textId="0561AB69" w:rsidR="00E66CE4" w:rsidRDefault="07E90002" w:rsidP="00660689">
      <w:r>
        <w:t>The exemption for small-scale millers is for practical</w:t>
      </w:r>
      <w:r w:rsidR="75409F55">
        <w:t xml:space="preserve"> </w:t>
      </w:r>
      <w:r>
        <w:t>rather th</w:t>
      </w:r>
      <w:r w:rsidR="75409F55">
        <w:t>an</w:t>
      </w:r>
      <w:r>
        <w:t xml:space="preserve"> competitive purposes; </w:t>
      </w:r>
      <w:r w:rsidR="75409F55">
        <w:t>it</w:t>
      </w:r>
      <w:r>
        <w:t xml:space="preserve"> is designed to avoid a significant increase in costs that would force small scale millers to leave the market. Therefore, avoiding the loss of wider, societal benefits, where small mills are also heritage mills.</w:t>
      </w:r>
    </w:p>
    <w:p w14:paraId="67FCEE38" w14:textId="3E91963E" w:rsidR="017C06D8" w:rsidRDefault="017C06D8" w:rsidP="017C06D8">
      <w:pPr>
        <w:spacing w:line="276" w:lineRule="auto"/>
      </w:pPr>
    </w:p>
    <w:p w14:paraId="08A520AC" w14:textId="244CD60E" w:rsidR="0087445C" w:rsidRDefault="380936A7" w:rsidP="00683589">
      <w:pPr>
        <w:spacing w:line="276" w:lineRule="auto"/>
      </w:pPr>
      <w:r>
        <w:t xml:space="preserve">The exemption would reduce the operating costs of small millers relative to larger </w:t>
      </w:r>
      <w:r w:rsidR="50DB8D17">
        <w:t>ones but</w:t>
      </w:r>
      <w:r>
        <w:t xml:space="preserve"> is unlikely to lead to significant market distortions. Heritage millers tend to serve a specific, local market and produce a differentiated product. They are generally social enterprises, rather than out-and-out commercial ones. Furthermore, barriers to entry are high. Modern, small millers may benefit, but only as far as the production threshold will allow. </w:t>
      </w:r>
    </w:p>
    <w:p w14:paraId="3B96AA6C" w14:textId="6D7E12FC" w:rsidR="00CD2ADB" w:rsidRDefault="385FE5F1" w:rsidP="00DA0433">
      <w:pPr>
        <w:pStyle w:val="Heading2"/>
      </w:pPr>
      <w:bookmarkStart w:id="70" w:name="_Toc141427928"/>
      <w:bookmarkStart w:id="71" w:name="_Toc141428011"/>
      <w:r>
        <w:t xml:space="preserve">Will the measure directly limit the </w:t>
      </w:r>
      <w:r w:rsidR="768DE58F">
        <w:t>ability of suppliers to compete?</w:t>
      </w:r>
      <w:bookmarkEnd w:id="70"/>
      <w:bookmarkEnd w:id="71"/>
    </w:p>
    <w:p w14:paraId="451D13AF" w14:textId="63D926C7" w:rsidR="00AB6139" w:rsidRPr="008A22A9" w:rsidRDefault="008A22A9" w:rsidP="595AB009">
      <w:pPr>
        <w:pStyle w:val="Heading3"/>
        <w:numPr>
          <w:ilvl w:val="2"/>
          <w:numId w:val="0"/>
        </w:numPr>
        <w:rPr>
          <w:b w:val="0"/>
          <w:bCs w:val="0"/>
          <w:u w:val="single"/>
        </w:rPr>
      </w:pPr>
      <w:r w:rsidRPr="008A22A9">
        <w:rPr>
          <w:b w:val="0"/>
          <w:bCs w:val="0"/>
          <w:u w:val="single"/>
        </w:rPr>
        <w:t xml:space="preserve">7.3.1 </w:t>
      </w:r>
      <w:r w:rsidR="099B4C49" w:rsidRPr="008A22A9">
        <w:rPr>
          <w:b w:val="0"/>
          <w:bCs w:val="0"/>
          <w:u w:val="single"/>
        </w:rPr>
        <w:t xml:space="preserve">‘Amend </w:t>
      </w:r>
      <w:r w:rsidR="619C3945" w:rsidRPr="008A22A9">
        <w:rPr>
          <w:b w:val="0"/>
          <w:bCs w:val="0"/>
          <w:u w:val="single"/>
        </w:rPr>
        <w:t>the Regulations</w:t>
      </w:r>
      <w:r w:rsidR="099B4C49" w:rsidRPr="008A22A9">
        <w:rPr>
          <w:b w:val="0"/>
          <w:bCs w:val="0"/>
          <w:u w:val="single"/>
        </w:rPr>
        <w:t xml:space="preserve"> to raise required fortificant levels to the 15% level required by overlapping legislation on the addition of vitamins and minerals to food generally’ and ‘Amend </w:t>
      </w:r>
      <w:r w:rsidR="6C9A7BEB" w:rsidRPr="008A22A9">
        <w:rPr>
          <w:b w:val="0"/>
          <w:bCs w:val="0"/>
          <w:u w:val="single"/>
        </w:rPr>
        <w:t xml:space="preserve">the </w:t>
      </w:r>
      <w:r w:rsidR="2894F51E" w:rsidRPr="008A22A9">
        <w:rPr>
          <w:b w:val="0"/>
          <w:bCs w:val="0"/>
          <w:u w:val="single"/>
        </w:rPr>
        <w:t>Regulations to</w:t>
      </w:r>
      <w:r w:rsidR="099B4C49" w:rsidRPr="008A22A9">
        <w:rPr>
          <w:b w:val="0"/>
          <w:bCs w:val="0"/>
          <w:u w:val="single"/>
        </w:rPr>
        <w:t xml:space="preserve"> allow the fortification of flour with folic acid’</w:t>
      </w:r>
    </w:p>
    <w:p w14:paraId="2A4E3927" w14:textId="531F5C21" w:rsidR="0090752A" w:rsidRDefault="46E90D28" w:rsidP="0090752A">
      <w:r>
        <w:t>The amendments involving additional fortification (the 15% level and the addition of folic acid) will increase production costs and potentially therefore, prices. However, other factors, such as the variation in the price of wheat, are likely to have a greater influence on price.</w:t>
      </w:r>
    </w:p>
    <w:p w14:paraId="1E0AB3F8" w14:textId="22FA74A1" w:rsidR="00947F75" w:rsidRDefault="0090752A" w:rsidP="0090752A">
      <w:pPr>
        <w:spacing w:line="276" w:lineRule="auto"/>
      </w:pPr>
      <w:r>
        <w:t>These amendments will change the composition of flour products, particularly in the case of folic acid. Competition impacts are predicted to be minimal due to the aforementioned minimal impact on costs and the fact that this applies to all medium and large millers.</w:t>
      </w:r>
    </w:p>
    <w:p w14:paraId="7232692C" w14:textId="0BFBEF8B" w:rsidR="00CF2553" w:rsidRPr="008A22A9" w:rsidRDefault="008A22A9" w:rsidP="595AB009">
      <w:pPr>
        <w:pStyle w:val="Heading3"/>
        <w:numPr>
          <w:ilvl w:val="2"/>
          <w:numId w:val="0"/>
        </w:numPr>
        <w:rPr>
          <w:b w:val="0"/>
          <w:bCs w:val="0"/>
          <w:u w:val="single"/>
        </w:rPr>
      </w:pPr>
      <w:r w:rsidRPr="008A22A9">
        <w:rPr>
          <w:b w:val="0"/>
          <w:bCs w:val="0"/>
          <w:u w:val="single"/>
        </w:rPr>
        <w:t xml:space="preserve">7.3.2 </w:t>
      </w:r>
      <w:r w:rsidR="796168BB" w:rsidRPr="008A22A9">
        <w:rPr>
          <w:b w:val="0"/>
          <w:bCs w:val="0"/>
          <w:u w:val="single"/>
        </w:rPr>
        <w:t xml:space="preserve">‘Amend </w:t>
      </w:r>
      <w:r w:rsidR="5CB02D25" w:rsidRPr="008A22A9">
        <w:rPr>
          <w:b w:val="0"/>
          <w:bCs w:val="0"/>
          <w:u w:val="single"/>
        </w:rPr>
        <w:t>the Regulations</w:t>
      </w:r>
      <w:r w:rsidR="796168BB" w:rsidRPr="008A22A9">
        <w:rPr>
          <w:b w:val="0"/>
          <w:bCs w:val="0"/>
          <w:u w:val="single"/>
        </w:rPr>
        <w:t xml:space="preserve"> to introduce exemptions from all fortification requirements for small-scale millers’</w:t>
      </w:r>
    </w:p>
    <w:p w14:paraId="7D58F81C" w14:textId="31C68452" w:rsidR="00947F75" w:rsidRDefault="00947F75" w:rsidP="00947F75">
      <w:pPr>
        <w:spacing w:line="276" w:lineRule="auto"/>
      </w:pPr>
      <w:r>
        <w:t>As small millers will be exempt from fortification under the proposed changes, the composition of flour from small mills will not necessarily change. This will mean that some unfortified flour will be placed on the domestic market. However, this is not expected to result in a significant competition impact, as consumers’ decisions to purchase from small millers are unlikely to be driven by fortification requirements.</w:t>
      </w:r>
    </w:p>
    <w:p w14:paraId="68EADDA5" w14:textId="0562B7A9" w:rsidR="00947F75" w:rsidRDefault="00947F75" w:rsidP="00947F75"/>
    <w:p w14:paraId="521EE7C3" w14:textId="409B6B78" w:rsidR="00947F75" w:rsidRPr="00947F75" w:rsidRDefault="6D9E15B1" w:rsidP="3C6AB4A7">
      <w:r>
        <w:t xml:space="preserve">Given that most of the identified competition risks are associated with the exemptions, Option 5 can be said to induce the highest risk to competition in the industry, while Options 2-4 also introduce some concerns in this area through the fortification requirements. Although, it must also be noted that Option 1’s </w:t>
      </w:r>
      <w:r w:rsidR="00B141C7">
        <w:t>‘</w:t>
      </w:r>
      <w:r w:rsidR="5C2DAB38">
        <w:t>do nothing</w:t>
      </w:r>
      <w:r w:rsidR="00B141C7">
        <w:t>’</w:t>
      </w:r>
      <w:r w:rsidR="5C2DAB38">
        <w:t xml:space="preserve"> </w:t>
      </w:r>
      <w:r w:rsidR="2F17DF55">
        <w:t>and the continuation of the Regulations as they stand</w:t>
      </w:r>
      <w:r>
        <w:t>, thus leaving the legal and enforcement ambiguity unresolved, presents its own competition risks by failing to ensure a level playing field across industry.</w:t>
      </w:r>
    </w:p>
    <w:p w14:paraId="02F08533" w14:textId="73B25DDB" w:rsidR="0035332A" w:rsidRDefault="001EFE35" w:rsidP="00DA0433">
      <w:pPr>
        <w:pStyle w:val="Heading2"/>
      </w:pPr>
      <w:bookmarkStart w:id="72" w:name="_Toc141427929"/>
      <w:bookmarkStart w:id="73" w:name="_Toc141428012"/>
      <w:r>
        <w:t>Will the measure limit suppliers’ incentive to compete vigorously?</w:t>
      </w:r>
      <w:bookmarkEnd w:id="72"/>
      <w:bookmarkEnd w:id="73"/>
    </w:p>
    <w:p w14:paraId="20483991" w14:textId="0C53F35E" w:rsidR="003A7FCC" w:rsidRPr="00F929B4" w:rsidRDefault="1E70D6DA" w:rsidP="00626450">
      <w:r>
        <w:t xml:space="preserve">The proposed amendments to the </w:t>
      </w:r>
      <w:r w:rsidR="370BAD5A">
        <w:t>Regulations are</w:t>
      </w:r>
      <w:r>
        <w:t xml:space="preserve"> unlikely to incentivise coordination or collusion between firms.</w:t>
      </w:r>
    </w:p>
    <w:p w14:paraId="44F494DE" w14:textId="430D30D9" w:rsidR="003A7FCC" w:rsidRDefault="41098808" w:rsidP="00DA0433">
      <w:pPr>
        <w:pStyle w:val="Heading2"/>
      </w:pPr>
      <w:bookmarkStart w:id="74" w:name="_Toc141427930"/>
      <w:bookmarkStart w:id="75" w:name="_Toc141428013"/>
      <w:r>
        <w:t>Will the measure limit the choices and information available to consumers?</w:t>
      </w:r>
      <w:bookmarkEnd w:id="74"/>
      <w:bookmarkEnd w:id="75"/>
    </w:p>
    <w:p w14:paraId="0185B2D3" w14:textId="3E2C5469" w:rsidR="00E70802" w:rsidRPr="008A22A9" w:rsidRDefault="008A22A9" w:rsidP="595AB009">
      <w:pPr>
        <w:pStyle w:val="Heading3"/>
        <w:numPr>
          <w:ilvl w:val="2"/>
          <w:numId w:val="0"/>
        </w:numPr>
        <w:rPr>
          <w:b w:val="0"/>
          <w:bCs w:val="0"/>
          <w:u w:val="single"/>
        </w:rPr>
      </w:pPr>
      <w:r w:rsidRPr="008A22A9">
        <w:rPr>
          <w:b w:val="0"/>
          <w:bCs w:val="0"/>
          <w:u w:val="single"/>
        </w:rPr>
        <w:t xml:space="preserve">7.5.1 </w:t>
      </w:r>
      <w:r w:rsidR="50CEF504" w:rsidRPr="008A22A9">
        <w:rPr>
          <w:b w:val="0"/>
          <w:bCs w:val="0"/>
          <w:u w:val="single"/>
        </w:rPr>
        <w:t xml:space="preserve">‘Amend </w:t>
      </w:r>
      <w:r w:rsidR="4FC34DB3" w:rsidRPr="008A22A9">
        <w:rPr>
          <w:b w:val="0"/>
          <w:bCs w:val="0"/>
          <w:u w:val="single"/>
        </w:rPr>
        <w:t xml:space="preserve">the </w:t>
      </w:r>
      <w:r w:rsidR="44B55259" w:rsidRPr="008A22A9">
        <w:rPr>
          <w:b w:val="0"/>
          <w:bCs w:val="0"/>
          <w:u w:val="single"/>
        </w:rPr>
        <w:t>Regulations to</w:t>
      </w:r>
      <w:r w:rsidR="50CEF504" w:rsidRPr="008A22A9">
        <w:rPr>
          <w:b w:val="0"/>
          <w:bCs w:val="0"/>
          <w:u w:val="single"/>
        </w:rPr>
        <w:t xml:space="preserve"> introduce </w:t>
      </w:r>
      <w:r w:rsidR="6102A9C2" w:rsidRPr="008A22A9">
        <w:rPr>
          <w:b w:val="0"/>
          <w:bCs w:val="0"/>
          <w:u w:val="single"/>
        </w:rPr>
        <w:t xml:space="preserve">an </w:t>
      </w:r>
      <w:r w:rsidR="50CEF504" w:rsidRPr="008A22A9">
        <w:rPr>
          <w:b w:val="0"/>
          <w:bCs w:val="0"/>
          <w:u w:val="single"/>
        </w:rPr>
        <w:t>exemption from all fortification requirements for small-scale millers’</w:t>
      </w:r>
    </w:p>
    <w:p w14:paraId="16FF6879" w14:textId="50E57118" w:rsidR="00440A0A" w:rsidRDefault="4E4D9454" w:rsidP="001C4DB6">
      <w:r>
        <w:t xml:space="preserve">There are </w:t>
      </w:r>
      <w:r w:rsidR="6272CBA1">
        <w:t>no</w:t>
      </w:r>
      <w:r>
        <w:t xml:space="preserve"> anticipated competition impacts on information and choice from implementing </w:t>
      </w:r>
      <w:r w:rsidR="6272CBA1">
        <w:t xml:space="preserve">an exemption on </w:t>
      </w:r>
      <w:r w:rsidR="7F29D451">
        <w:t>small-scale millers.</w:t>
      </w:r>
      <w:r>
        <w:t xml:space="preserve"> The exemption may protect consumers who cannot consume fortified flour-based products by ensuring these products are still commercially available, thus preserving consumer choice regarding fortification where this is necessary for health reasons. This is, however, an extremely small proportion of the market, meaning impact on choice overall is very limited</w:t>
      </w:r>
      <w:r w:rsidR="3065E3E8">
        <w:t>.</w:t>
      </w:r>
      <w:r w:rsidR="12AA6927">
        <w:t xml:space="preserve"> The</w:t>
      </w:r>
      <w:r>
        <w:t xml:space="preserve"> exemption alone </w:t>
      </w:r>
      <w:r w:rsidR="12AA6927">
        <w:t xml:space="preserve">also </w:t>
      </w:r>
      <w:r>
        <w:t>does not improve anyone’s ability to make optimal decisions, as the protection of product variety is not</w:t>
      </w:r>
      <w:r w:rsidR="4F34110E">
        <w:t xml:space="preserve"> </w:t>
      </w:r>
      <w:r>
        <w:t>accompanied by any improved information availability in areas such as public health.</w:t>
      </w:r>
    </w:p>
    <w:p w14:paraId="69850370" w14:textId="77777777" w:rsidR="00695627" w:rsidRDefault="00695627" w:rsidP="00440A0A"/>
    <w:p w14:paraId="3129381F" w14:textId="019ABB47" w:rsidR="00E64E72" w:rsidRDefault="00440A0A" w:rsidP="00440A0A">
      <w:r>
        <w:t>Given the limited impacts on choice and information, as well as the limited impact on entry and exit discussed previously, none of the proposed options are considered to have adverse competition impacts in the areas covered by Question 4.</w:t>
      </w:r>
    </w:p>
    <w:p w14:paraId="71B67C80" w14:textId="10F3F6D3" w:rsidR="001805BB" w:rsidRPr="008A22A9" w:rsidRDefault="008A22A9" w:rsidP="595AB009">
      <w:pPr>
        <w:pStyle w:val="Heading3"/>
        <w:numPr>
          <w:ilvl w:val="2"/>
          <w:numId w:val="0"/>
        </w:numPr>
        <w:rPr>
          <w:b w:val="0"/>
          <w:bCs w:val="0"/>
          <w:u w:val="single"/>
        </w:rPr>
      </w:pPr>
      <w:r w:rsidRPr="008A22A9">
        <w:rPr>
          <w:b w:val="0"/>
          <w:bCs w:val="0"/>
          <w:u w:val="single"/>
        </w:rPr>
        <w:t xml:space="preserve">7.5.2 </w:t>
      </w:r>
      <w:r w:rsidR="0196A876" w:rsidRPr="008A22A9">
        <w:rPr>
          <w:b w:val="0"/>
          <w:bCs w:val="0"/>
          <w:u w:val="single"/>
        </w:rPr>
        <w:t xml:space="preserve">‘Amend </w:t>
      </w:r>
      <w:r w:rsidR="668AFA9D" w:rsidRPr="008A22A9">
        <w:rPr>
          <w:b w:val="0"/>
          <w:bCs w:val="0"/>
          <w:u w:val="single"/>
        </w:rPr>
        <w:t xml:space="preserve">the </w:t>
      </w:r>
      <w:r w:rsidR="31D90636" w:rsidRPr="008A22A9">
        <w:rPr>
          <w:b w:val="0"/>
          <w:bCs w:val="0"/>
          <w:u w:val="single"/>
        </w:rPr>
        <w:t>Regulations to</w:t>
      </w:r>
      <w:r w:rsidR="0196A876" w:rsidRPr="008A22A9">
        <w:rPr>
          <w:b w:val="0"/>
          <w:bCs w:val="0"/>
          <w:u w:val="single"/>
        </w:rPr>
        <w:t xml:space="preserve"> </w:t>
      </w:r>
      <w:r w:rsidR="6F0C7C1C" w:rsidRPr="008A22A9">
        <w:rPr>
          <w:b w:val="0"/>
          <w:bCs w:val="0"/>
          <w:u w:val="single"/>
        </w:rPr>
        <w:t xml:space="preserve">provide clarity on the type of wheat which falls within the scope of the fortification requirements in the regulations so that the fortification requirements apply to “common wheat” </w:t>
      </w:r>
      <w:r w:rsidR="1B4BEC4B" w:rsidRPr="008A22A9">
        <w:rPr>
          <w:b w:val="0"/>
          <w:bCs w:val="0"/>
          <w:u w:val="single"/>
        </w:rPr>
        <w:t>(</w:t>
      </w:r>
      <w:r w:rsidR="6F0C7C1C" w:rsidRPr="008A22A9">
        <w:rPr>
          <w:b w:val="0"/>
          <w:bCs w:val="0"/>
          <w:i/>
          <w:iCs/>
          <w:u w:val="single"/>
        </w:rPr>
        <w:t>Triticum aestivum</w:t>
      </w:r>
      <w:r w:rsidR="1B4BEC4B" w:rsidRPr="008A22A9">
        <w:rPr>
          <w:b w:val="0"/>
          <w:bCs w:val="0"/>
          <w:u w:val="single"/>
        </w:rPr>
        <w:t>)</w:t>
      </w:r>
      <w:r w:rsidR="6F0C7C1C" w:rsidRPr="008A22A9">
        <w:rPr>
          <w:b w:val="0"/>
          <w:bCs w:val="0"/>
          <w:u w:val="single"/>
        </w:rPr>
        <w:t xml:space="preserve"> only’</w:t>
      </w:r>
    </w:p>
    <w:p w14:paraId="769C2CB6" w14:textId="3400BB1A" w:rsidR="00717F85" w:rsidRPr="001805BB" w:rsidRDefault="52087DE4" w:rsidP="001805BB">
      <w:r>
        <w:t>The proposed simplifications to the definition of wheat w</w:t>
      </w:r>
      <w:r w:rsidR="459516F7">
        <w:t xml:space="preserve">ill </w:t>
      </w:r>
      <w:r>
        <w:t xml:space="preserve">provide additional benefits </w:t>
      </w:r>
      <w:r w:rsidR="2BA953B7">
        <w:t>in</w:t>
      </w:r>
      <w:r>
        <w:t xml:space="preserve"> consumer choice, as well as information access, by clarifying that grains falling outside this definition of common wheat are exempt from fortification. This w</w:t>
      </w:r>
      <w:r w:rsidR="35A74E05">
        <w:t>ill</w:t>
      </w:r>
      <w:r>
        <w:t xml:space="preserve"> provide greater clarity to industry on fortification requirements for different grains, and therefore also improve consumer choice through the consequent availability of fortified and unfortified products. These improvements in choice and information complement similar impacts from the other proposed amendments to improve consumer choice.</w:t>
      </w:r>
    </w:p>
    <w:p w14:paraId="6C17DA5C" w14:textId="77777777" w:rsidR="009B7571" w:rsidRPr="009B7571" w:rsidRDefault="009B7571" w:rsidP="009B7571"/>
    <w:p w14:paraId="62DB47B9" w14:textId="115B7F51" w:rsidR="008B65A0" w:rsidRDefault="008B65A0" w:rsidP="00626450"/>
    <w:p w14:paraId="151CAAEC" w14:textId="07D5D9CF" w:rsidR="0035332A" w:rsidRDefault="0035332A">
      <w:pPr>
        <w:spacing w:line="240" w:lineRule="auto"/>
        <w:jc w:val="both"/>
      </w:pPr>
      <w:r>
        <w:br w:type="page"/>
      </w:r>
    </w:p>
    <w:p w14:paraId="4FDD9885" w14:textId="77777777" w:rsidR="002030DF" w:rsidRDefault="07CF6862" w:rsidP="00DD3CD6">
      <w:pPr>
        <w:pStyle w:val="Heading1"/>
      </w:pPr>
      <w:bookmarkStart w:id="76" w:name="_Toc141427931"/>
      <w:bookmarkStart w:id="77" w:name="_Toc141428014"/>
      <w:bookmarkStart w:id="78" w:name="_Toc142556670"/>
      <w:bookmarkStart w:id="79" w:name="_Toc164407112"/>
      <w:bookmarkStart w:id="80" w:name="_Toc165382844"/>
      <w:r>
        <w:t>Consumer Assessment</w:t>
      </w:r>
      <w:bookmarkEnd w:id="76"/>
      <w:bookmarkEnd w:id="77"/>
      <w:bookmarkEnd w:id="78"/>
      <w:bookmarkEnd w:id="79"/>
      <w:bookmarkEnd w:id="80"/>
    </w:p>
    <w:p w14:paraId="4B537A84" w14:textId="305131CF" w:rsidR="002030DF" w:rsidRPr="00E5195A" w:rsidRDefault="08B2D857" w:rsidP="0F59F797">
      <w:pPr>
        <w:spacing w:line="276" w:lineRule="auto"/>
        <w:rPr>
          <w:rFonts w:ascii="Arial" w:eastAsia="Arial" w:hAnsi="Arial" w:cs="Arial"/>
        </w:rPr>
      </w:pPr>
      <w:r w:rsidRPr="3C6AB4A7">
        <w:rPr>
          <w:rFonts w:ascii="Arial" w:eastAsia="Arial" w:hAnsi="Arial" w:cs="Arial"/>
        </w:rPr>
        <w:t>There will be a small cost to consumers from a decrease in choice of products that do not contain folic acid. Some consumers may choose not to consume products containing folic acid and as such will need to alter their consumption habits. Whilst there will be alternatives such as wholemeal wheat flour or non-wheat based flour which will not require mandatory</w:t>
      </w:r>
      <w:r w:rsidR="00E1431E">
        <w:rPr>
          <w:rFonts w:ascii="Arial" w:eastAsia="Arial" w:hAnsi="Arial" w:cs="Arial"/>
        </w:rPr>
        <w:t xml:space="preserve"> fortification</w:t>
      </w:r>
      <w:r w:rsidRPr="3C6AB4A7">
        <w:rPr>
          <w:rFonts w:ascii="Arial" w:eastAsia="Arial" w:hAnsi="Arial" w:cs="Arial"/>
        </w:rPr>
        <w:t xml:space="preserve">, these options may be more expensive. </w:t>
      </w:r>
    </w:p>
    <w:p w14:paraId="1A9FFC4F" w14:textId="4CE334FC" w:rsidR="002030DF" w:rsidRPr="00E5195A" w:rsidRDefault="002030DF" w:rsidP="4F247594">
      <w:pPr>
        <w:spacing w:line="276" w:lineRule="auto"/>
        <w:rPr>
          <w:rFonts w:ascii="Arial" w:eastAsia="Arial" w:hAnsi="Arial" w:cs="Arial"/>
        </w:rPr>
      </w:pPr>
    </w:p>
    <w:p w14:paraId="55C8E8C7" w14:textId="55C63EAD" w:rsidR="002030DF" w:rsidRPr="00E5195A" w:rsidRDefault="27D4C3A3" w:rsidP="2A4700B5">
      <w:pPr>
        <w:spacing w:line="276" w:lineRule="auto"/>
        <w:rPr>
          <w:rFonts w:ascii="Arial" w:eastAsia="Arial" w:hAnsi="Arial" w:cs="Arial"/>
        </w:rPr>
      </w:pPr>
      <w:r w:rsidRPr="041874BB">
        <w:rPr>
          <w:rFonts w:ascii="Arial" w:eastAsia="Arial" w:hAnsi="Arial" w:cs="Arial"/>
        </w:rPr>
        <w:t>We have not monetised this cost due to the difficulty of placing a monetary value on this consumer welfare loss.</w:t>
      </w:r>
    </w:p>
    <w:p w14:paraId="4DC43BA5" w14:textId="6193A948" w:rsidR="002030DF" w:rsidRPr="00E5195A" w:rsidRDefault="002030DF" w:rsidP="4F247594">
      <w:pPr>
        <w:spacing w:line="276" w:lineRule="auto"/>
        <w:rPr>
          <w:rFonts w:ascii="Arial" w:eastAsia="Arial" w:hAnsi="Arial" w:cs="Arial"/>
        </w:rPr>
      </w:pPr>
    </w:p>
    <w:p w14:paraId="104A1584" w14:textId="77777777" w:rsidR="008A22A9" w:rsidRDefault="08B2D857" w:rsidP="008A22A9">
      <w:pPr>
        <w:spacing w:line="276" w:lineRule="auto"/>
        <w:rPr>
          <w:rFonts w:ascii="Arial" w:eastAsia="Arial" w:hAnsi="Arial" w:cs="Arial"/>
        </w:rPr>
      </w:pPr>
      <w:r w:rsidRPr="3C6AB4A7">
        <w:rPr>
          <w:rFonts w:ascii="Arial" w:eastAsia="Arial" w:hAnsi="Arial" w:cs="Arial"/>
        </w:rPr>
        <w:t>There will be a small increase in the risk of people exceeding the Guidance Level of folic acid consumption as a result of the policy (FSS modelling estimates 0.4-0.6% of the population).</w:t>
      </w:r>
      <w:r w:rsidR="00D103BA">
        <w:rPr>
          <w:rFonts w:ascii="Arial" w:eastAsia="Arial" w:hAnsi="Arial" w:cs="Arial"/>
        </w:rPr>
        <w:t xml:space="preserve"> </w:t>
      </w:r>
      <w:r w:rsidRPr="3C6AB4A7">
        <w:rPr>
          <w:rFonts w:ascii="Arial" w:eastAsia="Arial" w:hAnsi="Arial" w:cs="Arial"/>
        </w:rPr>
        <w:t>A number of risk assessment bodies have assessed the potential effects of excess folic acid intake, including the US institute of Medicine Food and Nutrition Board (IOM, 1998), the EU Scientific Committee on Food (SCF, 2000) and the UK Expert group on Vitamins and Minerals (EVM, 2003).</w:t>
      </w:r>
      <w:r w:rsidR="00D8624C">
        <w:rPr>
          <w:rFonts w:ascii="Arial" w:eastAsia="Arial" w:hAnsi="Arial" w:cs="Arial"/>
        </w:rPr>
        <w:t xml:space="preserve"> </w:t>
      </w:r>
      <w:r w:rsidRPr="3C6AB4A7">
        <w:rPr>
          <w:rFonts w:ascii="Arial" w:eastAsia="Arial" w:hAnsi="Arial" w:cs="Arial"/>
        </w:rPr>
        <w:t>The SCF and EVM considered the potential masking of diagnosis of pernicious anaemia to be the main concern. This is because whilst folic acid would help improve haematological status, it would not prevent the neurological effects associated with the condition, which can lead to irreversible damage without treatment. Modelling from FSS showed the risk given different levels of fortification of non-wholemeal wheat flour.</w:t>
      </w:r>
    </w:p>
    <w:p w14:paraId="0E0CD8E2" w14:textId="1F02F81E" w:rsidR="002030DF" w:rsidRDefault="07CF6862" w:rsidP="00DD3CD6">
      <w:pPr>
        <w:pStyle w:val="Heading1"/>
      </w:pPr>
      <w:bookmarkStart w:id="81" w:name="_Toc141427932"/>
      <w:bookmarkStart w:id="82" w:name="_Toc141428015"/>
      <w:bookmarkStart w:id="83" w:name="_Toc142556671"/>
      <w:bookmarkStart w:id="84" w:name="_Toc164407113"/>
      <w:bookmarkStart w:id="85" w:name="_Toc165382845"/>
      <w:r>
        <w:t>Test Run of Business Forms</w:t>
      </w:r>
      <w:bookmarkEnd w:id="81"/>
      <w:bookmarkEnd w:id="82"/>
      <w:bookmarkEnd w:id="83"/>
      <w:bookmarkEnd w:id="84"/>
      <w:bookmarkEnd w:id="85"/>
    </w:p>
    <w:p w14:paraId="1C007105" w14:textId="5575A82C" w:rsidR="00736817" w:rsidRDefault="7E3877C7" w:rsidP="4A83D83A">
      <w:pPr>
        <w:spacing w:line="276" w:lineRule="auto"/>
        <w:rPr>
          <w:rFonts w:eastAsiaTheme="minorEastAsia"/>
          <w:color w:val="000000" w:themeColor="text1"/>
        </w:rPr>
      </w:pPr>
      <w:r w:rsidRPr="00115CF7">
        <w:rPr>
          <w:rFonts w:eastAsiaTheme="minorEastAsia"/>
          <w:color w:val="000000" w:themeColor="text1"/>
        </w:rPr>
        <w:t>No new forms will be introduced.</w:t>
      </w:r>
    </w:p>
    <w:p w14:paraId="216570BF" w14:textId="77777777" w:rsidR="002030DF" w:rsidRDefault="7DB59802" w:rsidP="00DD3CD6">
      <w:pPr>
        <w:pStyle w:val="Heading1"/>
      </w:pPr>
      <w:bookmarkStart w:id="86" w:name="_Toc165036502"/>
      <w:bookmarkStart w:id="87" w:name="_Toc165366603"/>
      <w:bookmarkStart w:id="88" w:name="_Toc165367057"/>
      <w:bookmarkStart w:id="89" w:name="_Toc141427933"/>
      <w:bookmarkStart w:id="90" w:name="_Toc141428016"/>
      <w:bookmarkStart w:id="91" w:name="_Toc142556672"/>
      <w:bookmarkStart w:id="92" w:name="_Toc164407114"/>
      <w:bookmarkStart w:id="93" w:name="_Toc165382846"/>
      <w:bookmarkEnd w:id="86"/>
      <w:bookmarkEnd w:id="87"/>
      <w:bookmarkEnd w:id="88"/>
      <w:r>
        <w:t>Digital Impact Test</w:t>
      </w:r>
      <w:bookmarkEnd w:id="89"/>
      <w:bookmarkEnd w:id="90"/>
      <w:bookmarkEnd w:id="91"/>
      <w:bookmarkEnd w:id="92"/>
      <w:bookmarkEnd w:id="93"/>
    </w:p>
    <w:p w14:paraId="0D63E7C9" w14:textId="77777777" w:rsidR="00AA021F" w:rsidRDefault="57B82201" w:rsidP="00874ABD">
      <w:pPr>
        <w:pStyle w:val="ListParagraph"/>
        <w:spacing w:line="276" w:lineRule="auto"/>
        <w:ind w:left="0"/>
      </w:pPr>
      <w:r>
        <w:t xml:space="preserve">The </w:t>
      </w:r>
      <w:r w:rsidR="2487277A">
        <w:t xml:space="preserve">Regulations </w:t>
      </w:r>
      <w:r w:rsidR="4FA79083">
        <w:t xml:space="preserve">as they stand </w:t>
      </w:r>
      <w:r w:rsidR="2487277A">
        <w:t xml:space="preserve">nor </w:t>
      </w:r>
      <w:r w:rsidR="18B22397">
        <w:t xml:space="preserve">as amended with </w:t>
      </w:r>
      <w:r w:rsidR="2487277A">
        <w:t xml:space="preserve">the </w:t>
      </w:r>
      <w:r>
        <w:t xml:space="preserve">changes being made </w:t>
      </w:r>
      <w:r w:rsidR="12A5FBB3">
        <w:t>have no</w:t>
      </w:r>
      <w:r w:rsidR="541E40DC">
        <w:t xml:space="preserve"> impact </w:t>
      </w:r>
      <w:r w:rsidR="360F2BC3">
        <w:t xml:space="preserve">on </w:t>
      </w:r>
      <w:r w:rsidR="541E40DC">
        <w:t>digital technologies and markets</w:t>
      </w:r>
      <w:r w:rsidR="2D87B256">
        <w:t>.</w:t>
      </w:r>
    </w:p>
    <w:p w14:paraId="20B86F49" w14:textId="77777777" w:rsidR="002030DF" w:rsidRDefault="07CF6862" w:rsidP="00AA021F">
      <w:pPr>
        <w:pStyle w:val="Heading1"/>
      </w:pPr>
      <w:bookmarkStart w:id="94" w:name="_Toc141427934"/>
      <w:bookmarkStart w:id="95" w:name="_Toc141428017"/>
      <w:bookmarkStart w:id="96" w:name="_Toc142556673"/>
      <w:bookmarkStart w:id="97" w:name="_Toc164407115"/>
      <w:bookmarkStart w:id="98" w:name="_Toc165382847"/>
      <w:r>
        <w:t>Legal Aid Impact Test</w:t>
      </w:r>
      <w:bookmarkEnd w:id="94"/>
      <w:bookmarkEnd w:id="95"/>
      <w:bookmarkEnd w:id="96"/>
      <w:bookmarkEnd w:id="97"/>
      <w:bookmarkEnd w:id="98"/>
    </w:p>
    <w:p w14:paraId="4A700F32" w14:textId="5CABE0B9" w:rsidR="3C6AB4A7" w:rsidRDefault="2BD03FDB" w:rsidP="3C6AB4A7">
      <w:pPr>
        <w:spacing w:line="276" w:lineRule="auto"/>
        <w:rPr>
          <w:rFonts w:ascii="Arial" w:eastAsia="Arial" w:hAnsi="Arial" w:cs="Arial"/>
          <w:color w:val="333333"/>
        </w:rPr>
      </w:pPr>
      <w:r w:rsidRPr="3C6AB4A7">
        <w:rPr>
          <w:rFonts w:ascii="Arial" w:eastAsia="Arial" w:hAnsi="Arial" w:cs="Arial"/>
          <w:color w:val="333333"/>
        </w:rPr>
        <w:t xml:space="preserve">The changes being made to the Regulations </w:t>
      </w:r>
      <w:r w:rsidR="4C0AF784" w:rsidRPr="3C6AB4A7">
        <w:rPr>
          <w:rFonts w:ascii="Arial" w:eastAsia="Arial" w:hAnsi="Arial" w:cs="Arial"/>
          <w:color w:val="333333"/>
        </w:rPr>
        <w:t xml:space="preserve">do not </w:t>
      </w:r>
      <w:r w:rsidR="4C0AF784" w:rsidRPr="00115CF7">
        <w:rPr>
          <w:rFonts w:ascii="Arial" w:eastAsia="Arial" w:hAnsi="Arial" w:cs="Arial"/>
        </w:rPr>
        <w:t>create a new procedure or right of appeal to a court or tribunal and</w:t>
      </w:r>
      <w:r w:rsidR="4C0AF784" w:rsidRPr="3C6AB4A7">
        <w:rPr>
          <w:rFonts w:ascii="Arial" w:eastAsia="Arial" w:hAnsi="Arial" w:cs="Arial"/>
          <w:color w:val="333333"/>
        </w:rPr>
        <w:t xml:space="preserve"> </w:t>
      </w:r>
      <w:r w:rsidRPr="3C6AB4A7">
        <w:rPr>
          <w:rFonts w:ascii="Arial" w:eastAsia="Arial" w:hAnsi="Arial" w:cs="Arial"/>
          <w:color w:val="333333"/>
        </w:rPr>
        <w:t>are unlikely to have any implications for fulfilling individuals' right to access to justice through availability of legal aid and possible expenditure from the legal aid fund.</w:t>
      </w:r>
    </w:p>
    <w:p w14:paraId="12CF510D" w14:textId="77777777" w:rsidR="002030DF" w:rsidRDefault="07CF6862" w:rsidP="00DD3CD6">
      <w:pPr>
        <w:pStyle w:val="Heading1"/>
      </w:pPr>
      <w:bookmarkStart w:id="99" w:name="_Toc165366606"/>
      <w:bookmarkStart w:id="100" w:name="_Toc165367060"/>
      <w:bookmarkStart w:id="101" w:name="_Toc141427935"/>
      <w:bookmarkStart w:id="102" w:name="_Toc141428018"/>
      <w:bookmarkStart w:id="103" w:name="_Toc142556674"/>
      <w:bookmarkStart w:id="104" w:name="_Toc164407116"/>
      <w:bookmarkStart w:id="105" w:name="_Toc165382848"/>
      <w:bookmarkEnd w:id="99"/>
      <w:bookmarkEnd w:id="100"/>
      <w:r>
        <w:t>Enforcement, Sanctions, and Monitoring</w:t>
      </w:r>
      <w:bookmarkEnd w:id="101"/>
      <w:bookmarkEnd w:id="102"/>
      <w:bookmarkEnd w:id="103"/>
      <w:bookmarkEnd w:id="104"/>
      <w:bookmarkEnd w:id="105"/>
    </w:p>
    <w:p w14:paraId="64F6672C" w14:textId="77777777" w:rsidR="008A22A9" w:rsidRDefault="06CDC0E5" w:rsidP="3C6AB4A7">
      <w:pPr>
        <w:spacing w:line="276" w:lineRule="auto"/>
        <w:rPr>
          <w:rFonts w:ascii="Arial" w:eastAsia="Arial" w:hAnsi="Arial" w:cs="Arial"/>
        </w:rPr>
      </w:pPr>
      <w:r w:rsidRPr="3C6AB4A7">
        <w:rPr>
          <w:rFonts w:ascii="Arial" w:eastAsia="Arial" w:hAnsi="Arial" w:cs="Arial"/>
        </w:rPr>
        <w:t xml:space="preserve">Enforcement of the regulations will be the responsibility of Local Authority Environmental Health Departments. Enforcement should be risk based and proportionate, in line with the approach taken with the current legislation. Enforcement officers would not be expected to initiate separate inspections in relation to the enforcement of these new provisions, but instead to include these as part of their existing regimes. </w:t>
      </w:r>
    </w:p>
    <w:p w14:paraId="09F73461" w14:textId="08D4B0A6" w:rsidR="002030DF" w:rsidRDefault="06CDC0E5" w:rsidP="3C6AB4A7">
      <w:pPr>
        <w:spacing w:line="276" w:lineRule="auto"/>
        <w:rPr>
          <w:rFonts w:ascii="Arial" w:eastAsia="Arial" w:hAnsi="Arial" w:cs="Arial"/>
        </w:rPr>
      </w:pPr>
      <w:r w:rsidRPr="3C6AB4A7">
        <w:rPr>
          <w:rFonts w:ascii="Arial" w:eastAsia="Arial" w:hAnsi="Arial" w:cs="Arial"/>
        </w:rPr>
        <w:t>The effectiveness and impact of the regulations will be monitored via feedback from stakeholders, including Enforcement A</w:t>
      </w:r>
      <w:r w:rsidR="004875E4">
        <w:rPr>
          <w:rFonts w:ascii="Arial" w:eastAsia="Arial" w:hAnsi="Arial" w:cs="Arial"/>
        </w:rPr>
        <w:t>uthorities</w:t>
      </w:r>
      <w:r w:rsidRPr="3C6AB4A7">
        <w:rPr>
          <w:rFonts w:ascii="Arial" w:eastAsia="Arial" w:hAnsi="Arial" w:cs="Arial"/>
        </w:rPr>
        <w:t>, as part of the ongoing policy process. Agency mechanisms for monitoring and review include; open fora, stakeholder meetings, surveys and general enquiries.</w:t>
      </w:r>
    </w:p>
    <w:p w14:paraId="41C89C96" w14:textId="77777777" w:rsidR="00FF41CF" w:rsidRPr="007B65F9" w:rsidRDefault="00FF41CF" w:rsidP="3C6AB4A7">
      <w:pPr>
        <w:spacing w:line="276" w:lineRule="auto"/>
        <w:rPr>
          <w:rFonts w:ascii="Arial" w:eastAsia="Arial" w:hAnsi="Arial" w:cs="Arial"/>
        </w:rPr>
      </w:pPr>
    </w:p>
    <w:p w14:paraId="78D24955" w14:textId="6FA7D9F0" w:rsidR="002030DF" w:rsidRPr="007B65F9" w:rsidRDefault="3DD65EC1" w:rsidP="0D8D2513">
      <w:pPr>
        <w:spacing w:line="276" w:lineRule="auto"/>
        <w:rPr>
          <w:rFonts w:ascii="Arial" w:eastAsia="Arial" w:hAnsi="Arial" w:cs="Arial"/>
          <w:highlight w:val="yellow"/>
        </w:rPr>
      </w:pPr>
      <w:r w:rsidRPr="0D8D2513">
        <w:rPr>
          <w:rFonts w:ascii="Arial" w:eastAsia="Arial" w:hAnsi="Arial" w:cs="Arial"/>
        </w:rPr>
        <w:t xml:space="preserve">An implementation monitoring group has been set up to establish key monitoring parameters for the policy. As the primary aim of the policy is to reduce the incidence of Neural Tube Defect-affected pregnancies (NTD-affected pregnancies), monitoring will be needed to establish whether this aim has been achieved. </w:t>
      </w:r>
    </w:p>
    <w:p w14:paraId="3BC588DC" w14:textId="6FF00418" w:rsidR="002030DF" w:rsidRPr="007B65F9" w:rsidRDefault="3DD65EC1" w:rsidP="0D8D2513">
      <w:pPr>
        <w:tabs>
          <w:tab w:val="right" w:pos="9026"/>
        </w:tabs>
        <w:spacing w:line="276" w:lineRule="auto"/>
        <w:ind w:left="425" w:hanging="425"/>
      </w:pPr>
      <w:r w:rsidRPr="0D8D2513">
        <w:rPr>
          <w:rFonts w:ascii="Arial" w:eastAsia="Arial" w:hAnsi="Arial" w:cs="Arial"/>
        </w:rPr>
        <w:t xml:space="preserve"> </w:t>
      </w:r>
    </w:p>
    <w:p w14:paraId="088FDD92" w14:textId="054E824B" w:rsidR="002030DF" w:rsidRPr="007B65F9" w:rsidRDefault="3DD65EC1" w:rsidP="0D8D2513">
      <w:pPr>
        <w:tabs>
          <w:tab w:val="right" w:pos="9026"/>
        </w:tabs>
        <w:spacing w:line="240" w:lineRule="auto"/>
      </w:pPr>
      <w:r w:rsidRPr="0D8D2513">
        <w:rPr>
          <w:rFonts w:ascii="Arial" w:eastAsia="Arial" w:hAnsi="Arial" w:cs="Arial"/>
        </w:rPr>
        <w:t>Any proposed monitoring strategy will include measures of both positive and potential</w:t>
      </w:r>
      <w:r w:rsidR="4C6938BA" w:rsidRPr="0D8D2513">
        <w:rPr>
          <w:rFonts w:ascii="Arial" w:eastAsia="Arial" w:hAnsi="Arial" w:cs="Arial"/>
        </w:rPr>
        <w:t xml:space="preserve"> </w:t>
      </w:r>
      <w:r w:rsidRPr="0D8D2513">
        <w:rPr>
          <w:rFonts w:ascii="Arial" w:eastAsia="Arial" w:hAnsi="Arial" w:cs="Arial"/>
        </w:rPr>
        <w:t xml:space="preserve">negative impacts of the policy on the health of the population in the UK and in Scotland. This will require pre- and post-implementation data collection and is likely to include monitoring of: </w:t>
      </w:r>
    </w:p>
    <w:p w14:paraId="04BC8C65" w14:textId="585041CC" w:rsidR="002030DF" w:rsidRPr="007B65F9" w:rsidRDefault="3DD65EC1" w:rsidP="0D8D2513">
      <w:pPr>
        <w:pStyle w:val="ListParagraph"/>
        <w:numPr>
          <w:ilvl w:val="0"/>
          <w:numId w:val="3"/>
        </w:numPr>
        <w:spacing w:line="276" w:lineRule="auto"/>
        <w:ind w:left="785" w:hanging="425"/>
        <w:rPr>
          <w:rFonts w:ascii="Arial" w:eastAsia="Arial" w:hAnsi="Arial" w:cs="Arial"/>
        </w:rPr>
      </w:pPr>
      <w:r w:rsidRPr="0D8D2513">
        <w:rPr>
          <w:rFonts w:ascii="Arial" w:eastAsia="Arial" w:hAnsi="Arial" w:cs="Arial"/>
        </w:rPr>
        <w:t>Incidence of NTD-affected pregnancies</w:t>
      </w:r>
    </w:p>
    <w:p w14:paraId="498EB7FE" w14:textId="6450AAE1" w:rsidR="002030DF" w:rsidRPr="007B65F9" w:rsidRDefault="3DD65EC1" w:rsidP="0D8D2513">
      <w:pPr>
        <w:pStyle w:val="ListParagraph"/>
        <w:numPr>
          <w:ilvl w:val="0"/>
          <w:numId w:val="3"/>
        </w:numPr>
        <w:spacing w:line="276" w:lineRule="auto"/>
        <w:ind w:left="785" w:hanging="425"/>
        <w:rPr>
          <w:rFonts w:ascii="Arial" w:eastAsia="Arial" w:hAnsi="Arial" w:cs="Arial"/>
        </w:rPr>
      </w:pPr>
      <w:r w:rsidRPr="0D8D2513">
        <w:rPr>
          <w:rFonts w:ascii="Arial" w:eastAsia="Arial" w:hAnsi="Arial" w:cs="Arial"/>
        </w:rPr>
        <w:t>folate intakes and blood status across the population, to assess improvements following fortification and any increase in the number of people with intakes above upper recommended levels.</w:t>
      </w:r>
    </w:p>
    <w:p w14:paraId="366524E2" w14:textId="63CD3EAF" w:rsidR="002030DF" w:rsidRPr="007B65F9" w:rsidRDefault="3DD65EC1" w:rsidP="000F54AD">
      <w:pPr>
        <w:pStyle w:val="ListParagraph"/>
        <w:numPr>
          <w:ilvl w:val="0"/>
          <w:numId w:val="3"/>
        </w:numPr>
        <w:spacing w:line="276" w:lineRule="auto"/>
        <w:ind w:left="785" w:hanging="425"/>
      </w:pPr>
      <w:r w:rsidRPr="008A22A9">
        <w:rPr>
          <w:rFonts w:ascii="Arial" w:eastAsia="Arial" w:hAnsi="Arial" w:cs="Arial"/>
        </w:rPr>
        <w:t>postulated adverse effects (such as certain types of cancer)</w:t>
      </w:r>
      <w:r w:rsidR="007B65F9" w:rsidRPr="008A22A9">
        <w:rPr>
          <w:color w:val="009CBD" w:themeColor="accent4"/>
        </w:rPr>
        <w:cr/>
      </w:r>
    </w:p>
    <w:p w14:paraId="6144BEAD" w14:textId="77777777" w:rsidR="002030DF" w:rsidRDefault="07CF6862" w:rsidP="00DD3CD6">
      <w:pPr>
        <w:pStyle w:val="Heading1"/>
      </w:pPr>
      <w:bookmarkStart w:id="106" w:name="_Toc141427936"/>
      <w:bookmarkStart w:id="107" w:name="_Toc141428019"/>
      <w:bookmarkStart w:id="108" w:name="_Toc142556675"/>
      <w:bookmarkStart w:id="109" w:name="_Toc164407117"/>
      <w:bookmarkStart w:id="110" w:name="_Toc165382849"/>
      <w:r>
        <w:t>Implementation and Delivery Plan</w:t>
      </w:r>
      <w:bookmarkEnd w:id="106"/>
      <w:bookmarkEnd w:id="107"/>
      <w:bookmarkEnd w:id="108"/>
      <w:bookmarkEnd w:id="109"/>
      <w:bookmarkEnd w:id="110"/>
    </w:p>
    <w:p w14:paraId="631D9FB2" w14:textId="4155CA17" w:rsidR="002030DF" w:rsidRPr="00BD7164" w:rsidRDefault="47F4CCF1" w:rsidP="3C6AB4A7">
      <w:pPr>
        <w:spacing w:line="276" w:lineRule="auto"/>
        <w:rPr>
          <w:rFonts w:ascii="Roboto" w:eastAsia="Roboto" w:hAnsi="Roboto" w:cs="Roboto"/>
          <w:color w:val="333333"/>
          <w:sz w:val="28"/>
          <w:szCs w:val="28"/>
        </w:rPr>
      </w:pPr>
      <w:r>
        <w:t>Subject to Minsterial agreement and Parliamentary scrutiny, t</w:t>
      </w:r>
      <w:r w:rsidR="7E7C17E9">
        <w:t xml:space="preserve">he </w:t>
      </w:r>
      <w:r w:rsidR="4C75BEA1">
        <w:t>new</w:t>
      </w:r>
      <w:r w:rsidR="4C75BEA1" w:rsidRPr="2837DE85">
        <w:rPr>
          <w:rFonts w:ascii="Arial" w:eastAsia="Arial" w:hAnsi="Arial" w:cs="Arial"/>
          <w:color w:val="333333"/>
        </w:rPr>
        <w:t xml:space="preserve"> requirements in respect of the small</w:t>
      </w:r>
      <w:r w:rsidR="00160949" w:rsidRPr="2837DE85">
        <w:rPr>
          <w:rFonts w:ascii="Arial" w:eastAsia="Arial" w:hAnsi="Arial" w:cs="Arial"/>
          <w:color w:val="333333"/>
        </w:rPr>
        <w:t>-scale</w:t>
      </w:r>
      <w:r w:rsidR="4C75BEA1" w:rsidRPr="2837DE85">
        <w:rPr>
          <w:rFonts w:ascii="Arial" w:eastAsia="Arial" w:hAnsi="Arial" w:cs="Arial"/>
          <w:color w:val="333333"/>
        </w:rPr>
        <w:t xml:space="preserve"> mill</w:t>
      </w:r>
      <w:r w:rsidR="00160949" w:rsidRPr="2837DE85">
        <w:rPr>
          <w:rFonts w:ascii="Arial" w:eastAsia="Arial" w:hAnsi="Arial" w:cs="Arial"/>
          <w:color w:val="333333"/>
        </w:rPr>
        <w:t>er</w:t>
      </w:r>
      <w:r w:rsidR="4C75BEA1" w:rsidRPr="2837DE85">
        <w:rPr>
          <w:rFonts w:ascii="Arial" w:eastAsia="Arial" w:hAnsi="Arial" w:cs="Arial"/>
          <w:color w:val="333333"/>
        </w:rPr>
        <w:t xml:space="preserve"> exemption</w:t>
      </w:r>
      <w:r w:rsidR="000068E4" w:rsidRPr="2837DE85">
        <w:rPr>
          <w:rFonts w:ascii="Arial" w:eastAsia="Arial" w:hAnsi="Arial" w:cs="Arial"/>
          <w:color w:val="333333"/>
        </w:rPr>
        <w:t xml:space="preserve"> and</w:t>
      </w:r>
      <w:r w:rsidR="4C75BEA1" w:rsidRPr="2837DE85">
        <w:rPr>
          <w:rFonts w:ascii="Arial" w:eastAsia="Arial" w:hAnsi="Arial" w:cs="Arial"/>
          <w:color w:val="333333"/>
        </w:rPr>
        <w:t xml:space="preserve"> the change in </w:t>
      </w:r>
      <w:r w:rsidR="3FCC78ED" w:rsidRPr="2837DE85">
        <w:rPr>
          <w:rFonts w:ascii="Arial" w:eastAsia="Arial" w:hAnsi="Arial" w:cs="Arial"/>
          <w:color w:val="333333"/>
        </w:rPr>
        <w:t xml:space="preserve">scope and </w:t>
      </w:r>
      <w:r w:rsidR="4C75BEA1" w:rsidRPr="2837DE85">
        <w:rPr>
          <w:rFonts w:ascii="Arial" w:eastAsia="Arial" w:hAnsi="Arial" w:cs="Arial"/>
          <w:color w:val="333333"/>
        </w:rPr>
        <w:t xml:space="preserve">definitions </w:t>
      </w:r>
      <w:r w:rsidR="5B938E6C" w:rsidRPr="2837DE85">
        <w:rPr>
          <w:rFonts w:ascii="Arial" w:eastAsia="Arial" w:hAnsi="Arial" w:cs="Arial"/>
          <w:color w:val="333333"/>
        </w:rPr>
        <w:t xml:space="preserve">will come into </w:t>
      </w:r>
      <w:r w:rsidR="48588142" w:rsidRPr="2837DE85">
        <w:rPr>
          <w:rFonts w:ascii="Arial" w:eastAsia="Arial" w:hAnsi="Arial" w:cs="Arial"/>
          <w:color w:val="333333"/>
        </w:rPr>
        <w:t>force</w:t>
      </w:r>
      <w:r w:rsidR="00380D85">
        <w:rPr>
          <w:rFonts w:ascii="Arial" w:eastAsia="Arial" w:hAnsi="Arial" w:cs="Arial"/>
          <w:color w:val="333333"/>
        </w:rPr>
        <w:t xml:space="preserve"> on a date to be confirmed. </w:t>
      </w:r>
      <w:r w:rsidR="75AEAC07" w:rsidRPr="2837DE85">
        <w:rPr>
          <w:rFonts w:ascii="Arial" w:eastAsia="Arial" w:hAnsi="Arial" w:cs="Arial"/>
          <w:color w:val="333333"/>
        </w:rPr>
        <w:t xml:space="preserve"> The new fortification requirements including the introduction of folic acid will come into force on </w:t>
      </w:r>
      <w:r w:rsidR="00380D85">
        <w:rPr>
          <w:rFonts w:ascii="Arial" w:eastAsia="Arial" w:hAnsi="Arial" w:cs="Arial"/>
          <w:color w:val="333333"/>
        </w:rPr>
        <w:t xml:space="preserve">a date to be confirmed. </w:t>
      </w:r>
    </w:p>
    <w:p w14:paraId="68D8D78A" w14:textId="31EB555C" w:rsidR="002030DF" w:rsidRPr="00BD7164" w:rsidRDefault="7E7C17E9" w:rsidP="00115CF7">
      <w:pPr>
        <w:pStyle w:val="Heading2"/>
        <w:rPr>
          <w:rFonts w:eastAsia="Arial"/>
        </w:rPr>
      </w:pPr>
      <w:r w:rsidRPr="3C6AB4A7">
        <w:rPr>
          <w:rFonts w:eastAsia="Arial"/>
        </w:rPr>
        <w:t>Post-implementation review</w:t>
      </w:r>
    </w:p>
    <w:p w14:paraId="4D0031A6" w14:textId="77777777" w:rsidR="008A22A9" w:rsidRDefault="7E7C17E9" w:rsidP="008A22A9">
      <w:pPr>
        <w:spacing w:line="276" w:lineRule="auto"/>
        <w:rPr>
          <w:rFonts w:ascii="Arial" w:eastAsia="Arial" w:hAnsi="Arial" w:cs="Arial"/>
          <w:color w:val="333333"/>
        </w:rPr>
      </w:pPr>
      <w:r w:rsidRPr="3C6AB4A7">
        <w:rPr>
          <w:rFonts w:ascii="Arial" w:eastAsia="Arial" w:hAnsi="Arial" w:cs="Arial"/>
          <w:color w:val="333333"/>
        </w:rPr>
        <w:t>A post-implementation review of the legislation will be taken forward within 10 years.</w:t>
      </w:r>
    </w:p>
    <w:p w14:paraId="2FEB7CAE" w14:textId="77777777" w:rsidR="002030DF" w:rsidRDefault="07CF6862" w:rsidP="00DD3CD6">
      <w:pPr>
        <w:pStyle w:val="Heading1"/>
      </w:pPr>
      <w:bookmarkStart w:id="111" w:name="_Toc141427937"/>
      <w:bookmarkStart w:id="112" w:name="_Toc141428020"/>
      <w:bookmarkStart w:id="113" w:name="_Toc142556676"/>
      <w:bookmarkStart w:id="114" w:name="_Toc164407118"/>
      <w:bookmarkStart w:id="115" w:name="_Toc165382850"/>
      <w:r>
        <w:t>Summary and Recommendation</w:t>
      </w:r>
      <w:bookmarkEnd w:id="111"/>
      <w:bookmarkEnd w:id="112"/>
      <w:bookmarkEnd w:id="113"/>
      <w:bookmarkEnd w:id="114"/>
      <w:bookmarkEnd w:id="115"/>
    </w:p>
    <w:p w14:paraId="47E4AED9" w14:textId="27285CB8" w:rsidR="00966B5E" w:rsidRPr="00966B5E" w:rsidRDefault="00966B5E" w:rsidP="00966B5E">
      <w:r w:rsidRPr="00966B5E">
        <w:t>In considering the policy objectives, alongside the benefits and costs illustrated below, overall Option 2 would achieve the primary objective to reduce the incidence of neural tube defects in Scotland by increasing the dietary intake of folic acid, and therefore blood folate levels in women of childbearing age. Options 3 and 4 both add to that primary objective to allow for increased legal clarity for the same benefit outcome with a slight increase in cost. However, Option 5 fulfils all of the objectives, including supporting viability for small millers, by providing an exemption from the fortification requirements with an increase in (unmonetised or monetised) benefits and for a very small additional cost. As such, Option 5 has been identified as the preferred option to achieve the overall aims in the longer term in Scotland and across the UK due to the integrated operational nature of the milling industry.</w:t>
      </w:r>
    </w:p>
    <w:p w14:paraId="70A87B54" w14:textId="561573FE" w:rsidR="008553FB" w:rsidRDefault="008553FB" w:rsidP="00115CF7">
      <w:pPr>
        <w:pStyle w:val="Heading2"/>
      </w:pPr>
      <w:r>
        <w:t xml:space="preserve">Central </w:t>
      </w:r>
      <w:r w:rsidR="008169F7">
        <w:t>E</w:t>
      </w:r>
      <w:r>
        <w:t>stimate</w:t>
      </w:r>
    </w:p>
    <w:p w14:paraId="4FCD4716" w14:textId="587B6CE2" w:rsidR="00C378B1" w:rsidRDefault="00895505" w:rsidP="00C378B1">
      <w:r>
        <w:t>C</w:t>
      </w:r>
      <w:r w:rsidR="00C378B1">
        <w:t>osts</w:t>
      </w:r>
      <w:r w:rsidR="004201D7">
        <w:t xml:space="preserve">, </w:t>
      </w:r>
      <w:r w:rsidR="00C378B1">
        <w:t xml:space="preserve">benefits </w:t>
      </w:r>
      <w:r w:rsidR="004201D7">
        <w:t xml:space="preserve">and </w:t>
      </w:r>
      <w:r w:rsidR="00935F17">
        <w:t>n</w:t>
      </w:r>
      <w:r w:rsidR="004201D7">
        <w:t xml:space="preserve">et </w:t>
      </w:r>
      <w:r w:rsidR="00935F17">
        <w:t>p</w:t>
      </w:r>
      <w:r w:rsidR="004201D7">
        <w:t xml:space="preserve">resent </w:t>
      </w:r>
      <w:r w:rsidR="00935F17">
        <w:t>v</w:t>
      </w:r>
      <w:r w:rsidR="004201D7">
        <w:t xml:space="preserve">alues (NPVs) </w:t>
      </w:r>
      <w:r>
        <w:t>for each option have been estimated</w:t>
      </w:r>
      <w:r w:rsidR="00596361">
        <w:t xml:space="preserve"> for Scotland</w:t>
      </w:r>
      <w:r w:rsidR="00404DBF">
        <w:t>. The majority of benefits and costs are</w:t>
      </w:r>
      <w:r w:rsidR="00C378B1">
        <w:t xml:space="preserve"> already present in Option 2</w:t>
      </w:r>
      <w:r w:rsidR="00404DBF">
        <w:t>, owing to the large impact of folic acid fortification.</w:t>
      </w:r>
      <w:r w:rsidR="001A08C7">
        <w:t xml:space="preserve"> </w:t>
      </w:r>
      <w:r w:rsidR="008D3C4B">
        <w:t>R</w:t>
      </w:r>
      <w:r w:rsidR="001A08C7">
        <w:t>esponses to the Scottish-specific consultation</w:t>
      </w:r>
      <w:r w:rsidR="008D0CBB">
        <w:t xml:space="preserve"> </w:t>
      </w:r>
      <w:r w:rsidR="008D3C4B">
        <w:t xml:space="preserve">may still affect </w:t>
      </w:r>
      <w:r w:rsidR="00C610A3">
        <w:t>any</w:t>
      </w:r>
      <w:r w:rsidR="008D3C4B">
        <w:t xml:space="preserve"> assumptions being made, particularly those relating to how UK-wide results or data is apportioned to the Scottish population or industry</w:t>
      </w:r>
      <w:r w:rsidR="001A08C7">
        <w:t>.</w:t>
      </w:r>
    </w:p>
    <w:p w14:paraId="4AD9E75C" w14:textId="77777777" w:rsidR="00C378B1" w:rsidRPr="00C378B1" w:rsidRDefault="00C378B1" w:rsidP="00C378B1"/>
    <w:p w14:paraId="540BD692" w14:textId="555EA685" w:rsidR="00843496" w:rsidRDefault="2C9289DD" w:rsidP="0D8D2513">
      <w:pPr>
        <w:pStyle w:val="Caption"/>
        <w:keepNext/>
        <w:rPr>
          <w:color w:val="auto"/>
        </w:rPr>
      </w:pPr>
      <w:bookmarkStart w:id="116" w:name="_Ref165475435"/>
      <w:r w:rsidRPr="0D8D2513">
        <w:rPr>
          <w:color w:val="auto"/>
        </w:rPr>
        <w:t xml:space="preserve">Table </w:t>
      </w:r>
      <w:r w:rsidR="00843496">
        <w:fldChar w:fldCharType="begin"/>
      </w:r>
      <w:r w:rsidR="00843496">
        <w:instrText xml:space="preserve"> SEQ Table \* ARABIC </w:instrText>
      </w:r>
      <w:r w:rsidR="00843496">
        <w:fldChar w:fldCharType="separate"/>
      </w:r>
      <w:r w:rsidR="37C08288" w:rsidRPr="0D8D2513">
        <w:rPr>
          <w:noProof/>
        </w:rPr>
        <w:t>5</w:t>
      </w:r>
      <w:r w:rsidR="00843496">
        <w:fldChar w:fldCharType="end"/>
      </w:r>
      <w:bookmarkEnd w:id="116"/>
      <w:r w:rsidRPr="0D8D2513">
        <w:rPr>
          <w:color w:val="auto"/>
        </w:rPr>
        <w:t xml:space="preserve">. Overview of </w:t>
      </w:r>
      <w:r w:rsidR="04B2E4B4" w:rsidRPr="0D8D2513">
        <w:rPr>
          <w:color w:val="auto"/>
        </w:rPr>
        <w:t xml:space="preserve">estimated </w:t>
      </w:r>
      <w:r w:rsidRPr="0D8D2513">
        <w:rPr>
          <w:color w:val="auto"/>
        </w:rPr>
        <w:t>total benefits</w:t>
      </w:r>
      <w:r w:rsidR="04B2E4B4" w:rsidRPr="0D8D2513">
        <w:rPr>
          <w:color w:val="auto"/>
        </w:rPr>
        <w:t xml:space="preserve">, </w:t>
      </w:r>
      <w:r w:rsidRPr="0D8D2513">
        <w:rPr>
          <w:color w:val="auto"/>
        </w:rPr>
        <w:t xml:space="preserve">costs </w:t>
      </w:r>
      <w:r w:rsidR="04B2E4B4" w:rsidRPr="0D8D2513">
        <w:rPr>
          <w:color w:val="auto"/>
        </w:rPr>
        <w:t>and net present values (NPV</w:t>
      </w:r>
      <w:r w:rsidR="4A666FCB" w:rsidRPr="0D8D2513">
        <w:rPr>
          <w:color w:val="auto"/>
        </w:rPr>
        <w:t>s</w:t>
      </w:r>
      <w:r w:rsidR="04B2E4B4" w:rsidRPr="0D8D2513">
        <w:rPr>
          <w:color w:val="auto"/>
        </w:rPr>
        <w:t xml:space="preserve">) </w:t>
      </w:r>
      <w:r w:rsidR="0E83DB9C" w:rsidRPr="0D8D2513">
        <w:rPr>
          <w:color w:val="auto"/>
        </w:rPr>
        <w:t>for each option</w:t>
      </w:r>
      <w:r w:rsidRPr="0D8D2513">
        <w:rPr>
          <w:color w:val="auto"/>
        </w:rPr>
        <w:t xml:space="preserve"> (2024 prices, discounted over 10 year appraisal period</w:t>
      </w:r>
      <w:r w:rsidR="3A3C83CC" w:rsidRPr="0D8D2513">
        <w:rPr>
          <w:color w:val="auto"/>
        </w:rPr>
        <w:t>, central estimate</w:t>
      </w:r>
      <w:r w:rsidRPr="0D8D2513">
        <w:rPr>
          <w:color w:val="auto"/>
        </w:rPr>
        <w:t>)</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32"/>
        <w:gridCol w:w="2705"/>
        <w:gridCol w:w="2705"/>
        <w:gridCol w:w="2704"/>
      </w:tblGrid>
      <w:tr w:rsidR="00D27B2A" w:rsidRPr="008A1535" w14:paraId="7E7CF73A" w14:textId="261CD284" w:rsidTr="00A3052B">
        <w:tc>
          <w:tcPr>
            <w:tcW w:w="837" w:type="pct"/>
            <w:vMerge w:val="restart"/>
            <w:tcBorders>
              <w:top w:val="single" w:sz="4" w:space="0" w:color="auto"/>
              <w:bottom w:val="nil"/>
            </w:tcBorders>
          </w:tcPr>
          <w:p w14:paraId="63F07CD9" w14:textId="77777777" w:rsidR="00D27B2A" w:rsidRPr="00BD7164" w:rsidRDefault="00D27B2A" w:rsidP="00874ABD">
            <w:pPr>
              <w:spacing w:line="276" w:lineRule="auto"/>
              <w:rPr>
                <w:b/>
              </w:rPr>
            </w:pPr>
            <w:r w:rsidRPr="00BD7164">
              <w:rPr>
                <w:b/>
              </w:rPr>
              <w:t>Option</w:t>
            </w:r>
          </w:p>
        </w:tc>
        <w:tc>
          <w:tcPr>
            <w:tcW w:w="1388" w:type="pct"/>
            <w:tcBorders>
              <w:top w:val="single" w:sz="4" w:space="0" w:color="auto"/>
              <w:bottom w:val="nil"/>
            </w:tcBorders>
          </w:tcPr>
          <w:p w14:paraId="1BF28114" w14:textId="7B7AC15C" w:rsidR="00D27B2A" w:rsidRPr="00BD7164" w:rsidRDefault="00D27B2A" w:rsidP="00874ABD">
            <w:pPr>
              <w:spacing w:line="276" w:lineRule="auto"/>
            </w:pPr>
            <w:r w:rsidRPr="00BD7164">
              <w:rPr>
                <w:b/>
              </w:rPr>
              <w:t>Total benefit</w:t>
            </w:r>
          </w:p>
        </w:tc>
        <w:tc>
          <w:tcPr>
            <w:tcW w:w="1388" w:type="pct"/>
            <w:tcBorders>
              <w:top w:val="single" w:sz="4" w:space="0" w:color="auto"/>
              <w:bottom w:val="nil"/>
              <w:right w:val="single" w:sz="4" w:space="0" w:color="auto"/>
            </w:tcBorders>
          </w:tcPr>
          <w:p w14:paraId="414E937D" w14:textId="6D3C0FAA" w:rsidR="00D27B2A" w:rsidRPr="00BD7164" w:rsidRDefault="00D27B2A" w:rsidP="00874ABD">
            <w:pPr>
              <w:spacing w:line="276" w:lineRule="auto"/>
            </w:pPr>
            <w:r w:rsidRPr="00BD7164">
              <w:rPr>
                <w:b/>
              </w:rPr>
              <w:t>Total cost</w:t>
            </w:r>
          </w:p>
        </w:tc>
        <w:tc>
          <w:tcPr>
            <w:tcW w:w="1387" w:type="pct"/>
            <w:tcBorders>
              <w:top w:val="single" w:sz="4" w:space="0" w:color="auto"/>
              <w:left w:val="single" w:sz="4" w:space="0" w:color="auto"/>
              <w:bottom w:val="nil"/>
              <w:right w:val="nil"/>
            </w:tcBorders>
          </w:tcPr>
          <w:p w14:paraId="4E68683A" w14:textId="67062AF7" w:rsidR="00D27B2A" w:rsidRPr="00BD7164" w:rsidRDefault="00D27B2A" w:rsidP="00874ABD">
            <w:pPr>
              <w:spacing w:line="276" w:lineRule="auto"/>
              <w:rPr>
                <w:b/>
              </w:rPr>
            </w:pPr>
            <w:r>
              <w:rPr>
                <w:b/>
              </w:rPr>
              <w:t>Net present value</w:t>
            </w:r>
          </w:p>
        </w:tc>
      </w:tr>
      <w:tr w:rsidR="00D27B2A" w:rsidRPr="008A1535" w14:paraId="19850348" w14:textId="4CFBD093" w:rsidTr="00A3052B">
        <w:tc>
          <w:tcPr>
            <w:tcW w:w="837" w:type="pct"/>
            <w:vMerge/>
            <w:tcBorders>
              <w:top w:val="nil"/>
              <w:bottom w:val="single" w:sz="4" w:space="0" w:color="auto"/>
            </w:tcBorders>
          </w:tcPr>
          <w:p w14:paraId="0F07091D" w14:textId="77777777" w:rsidR="00D27B2A" w:rsidRPr="00BD7164" w:rsidRDefault="00D27B2A" w:rsidP="00874ABD">
            <w:pPr>
              <w:spacing w:line="276" w:lineRule="auto"/>
              <w:rPr>
                <w:b/>
              </w:rPr>
            </w:pPr>
          </w:p>
        </w:tc>
        <w:tc>
          <w:tcPr>
            <w:tcW w:w="1388" w:type="pct"/>
            <w:tcBorders>
              <w:top w:val="nil"/>
              <w:bottom w:val="single" w:sz="4" w:space="0" w:color="auto"/>
            </w:tcBorders>
          </w:tcPr>
          <w:p w14:paraId="1BF557D5" w14:textId="0B39A0B5" w:rsidR="00D27B2A" w:rsidRPr="006D6492" w:rsidRDefault="00D27B2A" w:rsidP="00874ABD">
            <w:pPr>
              <w:spacing w:line="276" w:lineRule="auto"/>
              <w:rPr>
                <w:bCs/>
              </w:rPr>
            </w:pPr>
            <w:r w:rsidRPr="006D6492">
              <w:rPr>
                <w:bCs/>
              </w:rPr>
              <w:t>£</w:t>
            </w:r>
            <w:r w:rsidR="00F813BF">
              <w:rPr>
                <w:bCs/>
              </w:rPr>
              <w:t>000’s</w:t>
            </w:r>
            <w:r w:rsidRPr="006D6492">
              <w:rPr>
                <w:bCs/>
              </w:rPr>
              <w:t xml:space="preserve"> 2024</w:t>
            </w:r>
          </w:p>
        </w:tc>
        <w:tc>
          <w:tcPr>
            <w:tcW w:w="1388" w:type="pct"/>
            <w:tcBorders>
              <w:top w:val="nil"/>
              <w:bottom w:val="single" w:sz="4" w:space="0" w:color="auto"/>
              <w:right w:val="single" w:sz="4" w:space="0" w:color="auto"/>
            </w:tcBorders>
          </w:tcPr>
          <w:p w14:paraId="2E3745FF" w14:textId="1E2C8560" w:rsidR="00D27B2A" w:rsidRPr="006D6492" w:rsidRDefault="00D27B2A" w:rsidP="00874ABD">
            <w:pPr>
              <w:spacing w:line="276" w:lineRule="auto"/>
              <w:rPr>
                <w:bCs/>
              </w:rPr>
            </w:pPr>
            <w:r w:rsidRPr="006D6492">
              <w:rPr>
                <w:bCs/>
              </w:rPr>
              <w:t>£</w:t>
            </w:r>
            <w:r w:rsidR="00F813BF">
              <w:rPr>
                <w:bCs/>
              </w:rPr>
              <w:t>000’s</w:t>
            </w:r>
            <w:r w:rsidR="00F813BF" w:rsidRPr="006D6492">
              <w:rPr>
                <w:bCs/>
              </w:rPr>
              <w:t xml:space="preserve"> </w:t>
            </w:r>
            <w:r w:rsidRPr="006D6492">
              <w:rPr>
                <w:bCs/>
              </w:rPr>
              <w:t>2024</w:t>
            </w:r>
          </w:p>
        </w:tc>
        <w:tc>
          <w:tcPr>
            <w:tcW w:w="1387" w:type="pct"/>
            <w:tcBorders>
              <w:top w:val="nil"/>
              <w:left w:val="single" w:sz="4" w:space="0" w:color="auto"/>
              <w:bottom w:val="single" w:sz="4" w:space="0" w:color="auto"/>
              <w:right w:val="nil"/>
            </w:tcBorders>
          </w:tcPr>
          <w:p w14:paraId="022467DA" w14:textId="2D056A20" w:rsidR="00D27B2A" w:rsidRPr="006D6492" w:rsidRDefault="00D27B2A" w:rsidP="00874ABD">
            <w:pPr>
              <w:spacing w:line="276" w:lineRule="auto"/>
              <w:rPr>
                <w:bCs/>
              </w:rPr>
            </w:pPr>
            <w:r>
              <w:rPr>
                <w:bCs/>
              </w:rPr>
              <w:t>£</w:t>
            </w:r>
            <w:r w:rsidR="00F813BF">
              <w:rPr>
                <w:bCs/>
              </w:rPr>
              <w:t xml:space="preserve">000’s </w:t>
            </w:r>
            <w:r>
              <w:rPr>
                <w:bCs/>
              </w:rPr>
              <w:t>2024</w:t>
            </w:r>
          </w:p>
        </w:tc>
      </w:tr>
      <w:tr w:rsidR="00A3052B" w:rsidRPr="008A1535" w14:paraId="080A0B1F" w14:textId="1E246E3D" w:rsidTr="00A3052B">
        <w:tc>
          <w:tcPr>
            <w:tcW w:w="837" w:type="pct"/>
            <w:tcBorders>
              <w:top w:val="single" w:sz="4" w:space="0" w:color="auto"/>
            </w:tcBorders>
          </w:tcPr>
          <w:p w14:paraId="1B255D97" w14:textId="77777777" w:rsidR="00A3052B" w:rsidRPr="00A3052B" w:rsidRDefault="00A3052B" w:rsidP="00A3052B">
            <w:pPr>
              <w:spacing w:line="276" w:lineRule="auto"/>
            </w:pPr>
            <w:r w:rsidRPr="00A3052B">
              <w:t>1</w:t>
            </w:r>
          </w:p>
        </w:tc>
        <w:tc>
          <w:tcPr>
            <w:tcW w:w="1388" w:type="pct"/>
            <w:tcBorders>
              <w:top w:val="single" w:sz="4" w:space="0" w:color="auto"/>
            </w:tcBorders>
          </w:tcPr>
          <w:p w14:paraId="03842487" w14:textId="43C51495" w:rsidR="00A3052B" w:rsidRPr="00A3052B" w:rsidRDefault="005C7DC7" w:rsidP="00A3052B">
            <w:pPr>
              <w:spacing w:line="276" w:lineRule="auto"/>
            </w:pPr>
            <w:r>
              <w:t>0</w:t>
            </w:r>
          </w:p>
        </w:tc>
        <w:tc>
          <w:tcPr>
            <w:tcW w:w="1388" w:type="pct"/>
            <w:tcBorders>
              <w:top w:val="single" w:sz="4" w:space="0" w:color="auto"/>
              <w:right w:val="single" w:sz="4" w:space="0" w:color="auto"/>
            </w:tcBorders>
          </w:tcPr>
          <w:p w14:paraId="7F7A0B22" w14:textId="7AB3727D" w:rsidR="00A3052B" w:rsidRPr="00A3052B" w:rsidRDefault="005C7DC7" w:rsidP="00A3052B">
            <w:pPr>
              <w:spacing w:line="276" w:lineRule="auto"/>
            </w:pPr>
            <w:r>
              <w:t>0</w:t>
            </w:r>
          </w:p>
        </w:tc>
        <w:tc>
          <w:tcPr>
            <w:tcW w:w="1387" w:type="pct"/>
            <w:tcBorders>
              <w:top w:val="single" w:sz="4" w:space="0" w:color="auto"/>
              <w:left w:val="single" w:sz="4" w:space="0" w:color="auto"/>
              <w:right w:val="nil"/>
            </w:tcBorders>
          </w:tcPr>
          <w:p w14:paraId="707BA096" w14:textId="513C27DC" w:rsidR="00A3052B" w:rsidRPr="00A3052B" w:rsidRDefault="005C7DC7" w:rsidP="00A3052B">
            <w:pPr>
              <w:spacing w:line="276" w:lineRule="auto"/>
            </w:pPr>
            <w:r>
              <w:t>0</w:t>
            </w:r>
          </w:p>
        </w:tc>
      </w:tr>
      <w:tr w:rsidR="00362D50" w:rsidRPr="008A1535" w14:paraId="7FCC54A6" w14:textId="01C24EDD" w:rsidTr="00A3052B">
        <w:tc>
          <w:tcPr>
            <w:tcW w:w="837" w:type="pct"/>
          </w:tcPr>
          <w:p w14:paraId="045949CE" w14:textId="77777777" w:rsidR="00362D50" w:rsidRPr="00A3052B" w:rsidRDefault="00362D50" w:rsidP="00362D50">
            <w:pPr>
              <w:spacing w:line="276" w:lineRule="auto"/>
            </w:pPr>
            <w:r w:rsidRPr="00A3052B">
              <w:t>2</w:t>
            </w:r>
          </w:p>
        </w:tc>
        <w:tc>
          <w:tcPr>
            <w:tcW w:w="1388" w:type="pct"/>
          </w:tcPr>
          <w:p w14:paraId="70711762" w14:textId="0BD205E8" w:rsidR="00362D50" w:rsidRPr="00A3052B" w:rsidRDefault="00362D50" w:rsidP="00362D50">
            <w:pPr>
              <w:spacing w:line="276" w:lineRule="auto"/>
            </w:pPr>
            <w:r w:rsidRPr="002C24D1">
              <w:t>72,076</w:t>
            </w:r>
          </w:p>
        </w:tc>
        <w:tc>
          <w:tcPr>
            <w:tcW w:w="1388" w:type="pct"/>
            <w:tcBorders>
              <w:right w:val="single" w:sz="4" w:space="0" w:color="auto"/>
            </w:tcBorders>
          </w:tcPr>
          <w:p w14:paraId="3D9B099B" w14:textId="133946BD" w:rsidR="00362D50" w:rsidRPr="00A3052B" w:rsidRDefault="00362D50" w:rsidP="00362D50">
            <w:pPr>
              <w:spacing w:line="276" w:lineRule="auto"/>
            </w:pPr>
            <w:r w:rsidRPr="002C24D1">
              <w:t>9,040</w:t>
            </w:r>
          </w:p>
        </w:tc>
        <w:tc>
          <w:tcPr>
            <w:tcW w:w="1387" w:type="pct"/>
            <w:tcBorders>
              <w:left w:val="single" w:sz="4" w:space="0" w:color="auto"/>
              <w:right w:val="nil"/>
            </w:tcBorders>
          </w:tcPr>
          <w:p w14:paraId="25A4ED25" w14:textId="175B6FA5" w:rsidR="00362D50" w:rsidRPr="00A3052B" w:rsidRDefault="00362D50" w:rsidP="00362D50">
            <w:pPr>
              <w:spacing w:line="276" w:lineRule="auto"/>
            </w:pPr>
            <w:r w:rsidRPr="002C24D1">
              <w:t>63,036</w:t>
            </w:r>
          </w:p>
        </w:tc>
      </w:tr>
      <w:tr w:rsidR="00362D50" w:rsidRPr="008A1535" w14:paraId="44A1BA83" w14:textId="07C7E2DB" w:rsidTr="00A3052B">
        <w:tc>
          <w:tcPr>
            <w:tcW w:w="837" w:type="pct"/>
          </w:tcPr>
          <w:p w14:paraId="5CD8603C" w14:textId="77777777" w:rsidR="00362D50" w:rsidRPr="00A3052B" w:rsidRDefault="00362D50" w:rsidP="00362D50">
            <w:pPr>
              <w:spacing w:line="276" w:lineRule="auto"/>
            </w:pPr>
            <w:r w:rsidRPr="00A3052B">
              <w:t>3</w:t>
            </w:r>
          </w:p>
        </w:tc>
        <w:tc>
          <w:tcPr>
            <w:tcW w:w="1388" w:type="pct"/>
          </w:tcPr>
          <w:p w14:paraId="73F0C86B" w14:textId="29D6BC26" w:rsidR="00362D50" w:rsidRPr="00A3052B" w:rsidRDefault="00362D50" w:rsidP="00362D50">
            <w:pPr>
              <w:spacing w:line="276" w:lineRule="auto"/>
            </w:pPr>
            <w:r w:rsidRPr="002C24D1">
              <w:t>72,076</w:t>
            </w:r>
          </w:p>
        </w:tc>
        <w:tc>
          <w:tcPr>
            <w:tcW w:w="1388" w:type="pct"/>
            <w:tcBorders>
              <w:right w:val="single" w:sz="4" w:space="0" w:color="auto"/>
            </w:tcBorders>
          </w:tcPr>
          <w:p w14:paraId="77459CEA" w14:textId="2DFCC1EA" w:rsidR="00362D50" w:rsidRPr="00A3052B" w:rsidRDefault="00362D50" w:rsidP="00362D50">
            <w:pPr>
              <w:spacing w:line="276" w:lineRule="auto"/>
            </w:pPr>
            <w:r w:rsidRPr="002C24D1">
              <w:t>9,065</w:t>
            </w:r>
          </w:p>
        </w:tc>
        <w:tc>
          <w:tcPr>
            <w:tcW w:w="1387" w:type="pct"/>
            <w:tcBorders>
              <w:left w:val="single" w:sz="4" w:space="0" w:color="auto"/>
              <w:right w:val="nil"/>
            </w:tcBorders>
          </w:tcPr>
          <w:p w14:paraId="45B3E38A" w14:textId="54A80C1E" w:rsidR="00362D50" w:rsidRPr="00A3052B" w:rsidRDefault="00362D50" w:rsidP="00362D50">
            <w:pPr>
              <w:spacing w:line="276" w:lineRule="auto"/>
            </w:pPr>
            <w:r w:rsidRPr="002C24D1">
              <w:t>63,010</w:t>
            </w:r>
          </w:p>
        </w:tc>
      </w:tr>
      <w:tr w:rsidR="00362D50" w:rsidRPr="008A1535" w14:paraId="21EE88B4" w14:textId="201F6FD4" w:rsidTr="00A3052B">
        <w:tc>
          <w:tcPr>
            <w:tcW w:w="837" w:type="pct"/>
          </w:tcPr>
          <w:p w14:paraId="0B7D1706" w14:textId="77777777" w:rsidR="00362D50" w:rsidRPr="00A3052B" w:rsidRDefault="00362D50" w:rsidP="00362D50">
            <w:pPr>
              <w:spacing w:line="276" w:lineRule="auto"/>
            </w:pPr>
            <w:r w:rsidRPr="00A3052B">
              <w:t>4</w:t>
            </w:r>
          </w:p>
        </w:tc>
        <w:tc>
          <w:tcPr>
            <w:tcW w:w="1388" w:type="pct"/>
          </w:tcPr>
          <w:p w14:paraId="58E8F614" w14:textId="4DE5BA22" w:rsidR="00362D50" w:rsidRPr="00A3052B" w:rsidRDefault="00362D50" w:rsidP="00362D50">
            <w:pPr>
              <w:spacing w:line="276" w:lineRule="auto"/>
            </w:pPr>
            <w:r w:rsidRPr="002C24D1">
              <w:t>72,076</w:t>
            </w:r>
          </w:p>
        </w:tc>
        <w:tc>
          <w:tcPr>
            <w:tcW w:w="1388" w:type="pct"/>
            <w:tcBorders>
              <w:right w:val="single" w:sz="4" w:space="0" w:color="auto"/>
            </w:tcBorders>
          </w:tcPr>
          <w:p w14:paraId="7C35403E" w14:textId="01227F06" w:rsidR="00362D50" w:rsidRPr="00A3052B" w:rsidRDefault="00362D50" w:rsidP="00362D50">
            <w:pPr>
              <w:spacing w:line="276" w:lineRule="auto"/>
            </w:pPr>
            <w:r w:rsidRPr="002C24D1">
              <w:t>9,065</w:t>
            </w:r>
          </w:p>
        </w:tc>
        <w:tc>
          <w:tcPr>
            <w:tcW w:w="1387" w:type="pct"/>
            <w:tcBorders>
              <w:left w:val="single" w:sz="4" w:space="0" w:color="auto"/>
              <w:right w:val="nil"/>
            </w:tcBorders>
          </w:tcPr>
          <w:p w14:paraId="5F3A5461" w14:textId="236FC666" w:rsidR="00362D50" w:rsidRPr="00A3052B" w:rsidRDefault="00362D50" w:rsidP="00362D50">
            <w:pPr>
              <w:spacing w:line="276" w:lineRule="auto"/>
            </w:pPr>
            <w:r w:rsidRPr="002C24D1">
              <w:t>63,010</w:t>
            </w:r>
          </w:p>
        </w:tc>
      </w:tr>
      <w:tr w:rsidR="00362D50" w:rsidRPr="008A1535" w14:paraId="3F2DAF96" w14:textId="3D0B170B" w:rsidTr="00A3052B">
        <w:tc>
          <w:tcPr>
            <w:tcW w:w="837" w:type="pct"/>
          </w:tcPr>
          <w:p w14:paraId="56FF36BC" w14:textId="68F2244B" w:rsidR="00362D50" w:rsidRPr="00A3052B" w:rsidRDefault="00362D50" w:rsidP="00362D50">
            <w:pPr>
              <w:spacing w:line="276" w:lineRule="auto"/>
            </w:pPr>
            <w:r w:rsidRPr="00A3052B">
              <w:t>5</w:t>
            </w:r>
          </w:p>
        </w:tc>
        <w:tc>
          <w:tcPr>
            <w:tcW w:w="1388" w:type="pct"/>
          </w:tcPr>
          <w:p w14:paraId="17E39FDE" w14:textId="121AF9E5" w:rsidR="00362D50" w:rsidRPr="00A3052B" w:rsidRDefault="00362D50" w:rsidP="00362D50">
            <w:pPr>
              <w:spacing w:line="276" w:lineRule="auto"/>
            </w:pPr>
            <w:r w:rsidRPr="002C24D1">
              <w:t>72,077</w:t>
            </w:r>
          </w:p>
        </w:tc>
        <w:tc>
          <w:tcPr>
            <w:tcW w:w="1388" w:type="pct"/>
            <w:tcBorders>
              <w:bottom w:val="single" w:sz="4" w:space="0" w:color="auto"/>
              <w:right w:val="single" w:sz="4" w:space="0" w:color="auto"/>
            </w:tcBorders>
          </w:tcPr>
          <w:p w14:paraId="1278CBC3" w14:textId="2FF18612" w:rsidR="00362D50" w:rsidRPr="00A3052B" w:rsidRDefault="00362D50" w:rsidP="00362D50">
            <w:pPr>
              <w:spacing w:line="276" w:lineRule="auto"/>
            </w:pPr>
            <w:r w:rsidRPr="002C24D1">
              <w:t>9,071</w:t>
            </w:r>
          </w:p>
        </w:tc>
        <w:tc>
          <w:tcPr>
            <w:tcW w:w="1387" w:type="pct"/>
            <w:tcBorders>
              <w:left w:val="single" w:sz="4" w:space="0" w:color="auto"/>
              <w:right w:val="nil"/>
            </w:tcBorders>
          </w:tcPr>
          <w:p w14:paraId="27433F74" w14:textId="5FB12163" w:rsidR="00362D50" w:rsidRPr="00A3052B" w:rsidRDefault="00362D50" w:rsidP="00362D50">
            <w:pPr>
              <w:spacing w:line="276" w:lineRule="auto"/>
            </w:pPr>
            <w:r w:rsidRPr="002C24D1">
              <w:t>63,006</w:t>
            </w:r>
          </w:p>
        </w:tc>
      </w:tr>
    </w:tbl>
    <w:p w14:paraId="71A8B32C" w14:textId="77777777" w:rsidR="00895965" w:rsidRDefault="00895965" w:rsidP="00874ABD">
      <w:pPr>
        <w:spacing w:line="276" w:lineRule="auto"/>
        <w:rPr>
          <w:color w:val="7F7F7F" w:themeColor="text1" w:themeTint="80"/>
        </w:rPr>
      </w:pPr>
    </w:p>
    <w:p w14:paraId="540201A9" w14:textId="7ADEB30F" w:rsidR="00E1377B" w:rsidRDefault="00E27212" w:rsidP="00AD7570">
      <w:r>
        <w:t xml:space="preserve">The </w:t>
      </w:r>
      <w:r w:rsidR="001D3C2F">
        <w:t>NPV</w:t>
      </w:r>
      <w:r>
        <w:t xml:space="preserve"> in Option 5 (exempting small-scale millers from fortification requirements) </w:t>
      </w:r>
      <w:r w:rsidR="00EF6E03">
        <w:t>is</w:t>
      </w:r>
      <w:r w:rsidR="00F813BF">
        <w:t xml:space="preserve"> marginally </w:t>
      </w:r>
      <w:r w:rsidR="00EF6E03">
        <w:t>lower</w:t>
      </w:r>
      <w:r w:rsidR="00F813BF">
        <w:t xml:space="preserve"> than </w:t>
      </w:r>
      <w:r w:rsidR="00EF6E03">
        <w:t>Options 2-4</w:t>
      </w:r>
      <w:r w:rsidR="004139A6">
        <w:t xml:space="preserve"> only because we have assumed a ‘worst case scenario’ in Option</w:t>
      </w:r>
      <w:r w:rsidR="00BA1704">
        <w:t xml:space="preserve"> 5</w:t>
      </w:r>
      <w:r w:rsidR="004139A6">
        <w:t xml:space="preserve">: </w:t>
      </w:r>
      <w:r w:rsidR="005B7CE7">
        <w:t xml:space="preserve">the </w:t>
      </w:r>
      <w:r w:rsidR="00AC635F">
        <w:t xml:space="preserve">fortification cost </w:t>
      </w:r>
      <w:r w:rsidR="005B7CE7">
        <w:t xml:space="preserve">savings are outweighed by </w:t>
      </w:r>
      <w:r w:rsidR="00AC635F">
        <w:t xml:space="preserve">increased </w:t>
      </w:r>
      <w:r w:rsidR="005B7CE7">
        <w:t>relabelling costs for these</w:t>
      </w:r>
      <w:r w:rsidR="000A239D">
        <w:t xml:space="preserve"> small-scale</w:t>
      </w:r>
      <w:r w:rsidR="005B7CE7">
        <w:t xml:space="preserve"> millers</w:t>
      </w:r>
      <w:r w:rsidR="00145202">
        <w:t xml:space="preserve">, and </w:t>
      </w:r>
      <w:r w:rsidR="00CD11AF">
        <w:t xml:space="preserve">any </w:t>
      </w:r>
      <w:r w:rsidR="00145202">
        <w:t xml:space="preserve">relabelling is done entirely </w:t>
      </w:r>
      <w:r w:rsidR="00473963">
        <w:t>outside of</w:t>
      </w:r>
      <w:r w:rsidR="00145202">
        <w:t xml:space="preserve"> their regular relabelling cycle (despite the exemption being voluntary).</w:t>
      </w:r>
      <w:r w:rsidR="00E1377B">
        <w:t xml:space="preserve"> In reality, it is likely that </w:t>
      </w:r>
      <w:r w:rsidR="00864889">
        <w:t xml:space="preserve">some or all </w:t>
      </w:r>
      <w:r w:rsidR="00E1377B">
        <w:t xml:space="preserve">relabelling costs </w:t>
      </w:r>
      <w:r w:rsidR="007A3FBA">
        <w:t xml:space="preserve">for small-scale millers </w:t>
      </w:r>
      <w:r w:rsidR="00E1377B">
        <w:t xml:space="preserve">are absorbed </w:t>
      </w:r>
      <w:r w:rsidR="00F779A3">
        <w:t>in</w:t>
      </w:r>
      <w:r w:rsidR="00E1377B">
        <w:t xml:space="preserve"> the regular relabelling cycle, and </w:t>
      </w:r>
      <w:r w:rsidR="005D5DF3">
        <w:t xml:space="preserve">the </w:t>
      </w:r>
      <w:r w:rsidR="00E1377B">
        <w:t xml:space="preserve">fortification cost savings </w:t>
      </w:r>
      <w:r w:rsidR="00C33426">
        <w:t xml:space="preserve">would </w:t>
      </w:r>
      <w:r w:rsidR="007A3FBA">
        <w:t>lead to</w:t>
      </w:r>
      <w:r w:rsidR="00E1377B">
        <w:t xml:space="preserve"> a slightly </w:t>
      </w:r>
      <w:r w:rsidR="001D3C2F">
        <w:t xml:space="preserve">higher NPV </w:t>
      </w:r>
      <w:r w:rsidR="007A3FBA">
        <w:t>than in Option</w:t>
      </w:r>
      <w:r w:rsidR="00DD6CA2">
        <w:t>s</w:t>
      </w:r>
      <w:r w:rsidR="007404F6">
        <w:t xml:space="preserve"> </w:t>
      </w:r>
      <w:r w:rsidR="00DD6CA2">
        <w:t>3</w:t>
      </w:r>
      <w:r w:rsidR="00863CD7">
        <w:t xml:space="preserve"> and </w:t>
      </w:r>
      <w:r w:rsidR="007A3FBA">
        <w:t>4.</w:t>
      </w:r>
    </w:p>
    <w:p w14:paraId="72247497" w14:textId="77777777" w:rsidR="00EE6B4A" w:rsidRDefault="00EE6B4A" w:rsidP="00AD7570"/>
    <w:p w14:paraId="33D27477" w14:textId="0396E8E2" w:rsidR="00EE6B4A" w:rsidRDefault="00EE6B4A" w:rsidP="00AD7570">
      <w:r>
        <w:t xml:space="preserve">Regardless of this, the </w:t>
      </w:r>
      <w:r w:rsidR="000662B7">
        <w:t xml:space="preserve">monetised </w:t>
      </w:r>
      <w:r>
        <w:t xml:space="preserve">benefits of each Option outweigh the </w:t>
      </w:r>
      <w:r w:rsidR="000662B7">
        <w:t xml:space="preserve">monetised </w:t>
      </w:r>
      <w:r>
        <w:t>costs, as evidenced by the NPV</w:t>
      </w:r>
      <w:r w:rsidR="007206C0">
        <w:t xml:space="preserve">. Option 5, the preferred option, has a </w:t>
      </w:r>
      <w:r w:rsidR="007363AF">
        <w:t>NPV of £63 million in 2024 prices.</w:t>
      </w:r>
      <w:r w:rsidR="00DC1EF9">
        <w:t xml:space="preserve"> This is an </w:t>
      </w:r>
      <w:r w:rsidR="003C0EEE">
        <w:t>estimate</w:t>
      </w:r>
      <w:r w:rsidR="00DC1EF9">
        <w:t xml:space="preserve"> of the </w:t>
      </w:r>
      <w:r w:rsidR="00690C4A">
        <w:t xml:space="preserve">social </w:t>
      </w:r>
      <w:r w:rsidR="00DC1EF9">
        <w:t xml:space="preserve">benefit to </w:t>
      </w:r>
      <w:r w:rsidR="00084407">
        <w:t>Scotland</w:t>
      </w:r>
      <w:r w:rsidR="00DC1EF9">
        <w:t>, currently, of implementing these changes</w:t>
      </w:r>
      <w:r w:rsidR="003C699F">
        <w:t xml:space="preserve">. </w:t>
      </w:r>
      <w:r w:rsidR="003D0CAB">
        <w:t xml:space="preserve">A ten year appraisal </w:t>
      </w:r>
      <w:r w:rsidR="0094282E">
        <w:t>period</w:t>
      </w:r>
      <w:r w:rsidR="003D0CAB">
        <w:t xml:space="preserve"> was used, meaning that any</w:t>
      </w:r>
      <w:r w:rsidR="00432A9C">
        <w:t xml:space="preserve"> lifetime</w:t>
      </w:r>
      <w:r w:rsidR="003D0CAB">
        <w:t xml:space="preserve"> health or healthcare benefits for the cohorts born in these ten years are taken into account.</w:t>
      </w:r>
    </w:p>
    <w:p w14:paraId="7C75EB20" w14:textId="77777777" w:rsidR="003D3506" w:rsidRDefault="003D3506" w:rsidP="00AD7570"/>
    <w:p w14:paraId="61F2AD9C" w14:textId="1AF49569" w:rsidR="003D3506" w:rsidRDefault="003D3506" w:rsidP="003D3506">
      <w:pPr>
        <w:spacing w:line="276" w:lineRule="auto"/>
      </w:pPr>
      <w:r>
        <w:t>The monetised benefits are comprised of:</w:t>
      </w:r>
    </w:p>
    <w:p w14:paraId="35FB2CC3" w14:textId="77777777" w:rsidR="003D3506" w:rsidRDefault="003D3506" w:rsidP="003D3506">
      <w:pPr>
        <w:spacing w:line="276" w:lineRule="auto"/>
      </w:pPr>
    </w:p>
    <w:p w14:paraId="7FF10EAD" w14:textId="5415C17B" w:rsidR="003D3506" w:rsidRDefault="003D3506" w:rsidP="003D3506">
      <w:pPr>
        <w:pStyle w:val="ListParagraph"/>
        <w:numPr>
          <w:ilvl w:val="0"/>
          <w:numId w:val="25"/>
        </w:numPr>
        <w:spacing w:line="276" w:lineRule="auto"/>
      </w:pPr>
      <w:r>
        <w:t xml:space="preserve">Health benefits for those who would’ve otherwise been born with an </w:t>
      </w:r>
      <w:r w:rsidR="00C0566A">
        <w:t>NTD.</w:t>
      </w:r>
    </w:p>
    <w:p w14:paraId="5DCCFAE2" w14:textId="78CE593F" w:rsidR="003D3506" w:rsidRDefault="003D3506" w:rsidP="003D3506">
      <w:pPr>
        <w:pStyle w:val="ListParagraph"/>
        <w:numPr>
          <w:ilvl w:val="0"/>
          <w:numId w:val="25"/>
        </w:numPr>
        <w:spacing w:line="276" w:lineRule="auto"/>
      </w:pPr>
      <w:r>
        <w:t xml:space="preserve">Increased lifetime earnings for those who would’ve otherwise been born with an </w:t>
      </w:r>
      <w:r w:rsidR="00C0566A">
        <w:t>NTD.</w:t>
      </w:r>
    </w:p>
    <w:p w14:paraId="1BC189A5" w14:textId="256508C6" w:rsidR="003D3506" w:rsidRDefault="003D3506" w:rsidP="003D3506">
      <w:pPr>
        <w:pStyle w:val="ListParagraph"/>
        <w:numPr>
          <w:ilvl w:val="0"/>
          <w:numId w:val="25"/>
        </w:numPr>
        <w:spacing w:line="276" w:lineRule="auto"/>
      </w:pPr>
      <w:r>
        <w:t xml:space="preserve">Increased earnings for parents of those who would’ve otherwise been born with an </w:t>
      </w:r>
      <w:r w:rsidR="00C0566A">
        <w:t>NTD.</w:t>
      </w:r>
    </w:p>
    <w:p w14:paraId="6ACA34BD" w14:textId="17500612" w:rsidR="003D3506" w:rsidRDefault="003D3506" w:rsidP="003D3506">
      <w:pPr>
        <w:pStyle w:val="ListParagraph"/>
        <w:numPr>
          <w:ilvl w:val="0"/>
          <w:numId w:val="25"/>
        </w:numPr>
        <w:spacing w:line="276" w:lineRule="auto"/>
      </w:pPr>
      <w:r>
        <w:t xml:space="preserve">Decreased healthcare costs associated with NTD live births, stillbirths, miscarriages, or </w:t>
      </w:r>
      <w:r w:rsidR="00C0566A">
        <w:t>terminations.</w:t>
      </w:r>
    </w:p>
    <w:p w14:paraId="6A562088" w14:textId="77777777" w:rsidR="003D3506" w:rsidRDefault="003D3506" w:rsidP="003D3506">
      <w:pPr>
        <w:spacing w:line="276" w:lineRule="auto"/>
      </w:pPr>
    </w:p>
    <w:p w14:paraId="052AF493" w14:textId="77777777" w:rsidR="003D3506" w:rsidRDefault="003D3506" w:rsidP="003D3506">
      <w:pPr>
        <w:spacing w:line="276" w:lineRule="auto"/>
      </w:pPr>
      <w:r>
        <w:t>While monetised costs are comprised of:</w:t>
      </w:r>
    </w:p>
    <w:p w14:paraId="5BF565D8" w14:textId="77777777" w:rsidR="003D3506" w:rsidRDefault="003D3506" w:rsidP="003D3506">
      <w:pPr>
        <w:spacing w:line="276" w:lineRule="auto"/>
      </w:pPr>
    </w:p>
    <w:p w14:paraId="70510361" w14:textId="77777777" w:rsidR="003D3506" w:rsidRDefault="003D3506" w:rsidP="003D3506">
      <w:pPr>
        <w:pStyle w:val="ListParagraph"/>
        <w:numPr>
          <w:ilvl w:val="0"/>
          <w:numId w:val="25"/>
        </w:numPr>
        <w:spacing w:line="276" w:lineRule="auto"/>
      </w:pPr>
      <w:r>
        <w:t>Industry and enforcement familiarisation costs</w:t>
      </w:r>
    </w:p>
    <w:p w14:paraId="6EFBA05D" w14:textId="77777777" w:rsidR="003D3506" w:rsidRDefault="003D3506" w:rsidP="003D3506">
      <w:pPr>
        <w:pStyle w:val="ListParagraph"/>
        <w:numPr>
          <w:ilvl w:val="0"/>
          <w:numId w:val="25"/>
        </w:numPr>
        <w:spacing w:line="276" w:lineRule="auto"/>
      </w:pPr>
      <w:r>
        <w:t>Fortification costs</w:t>
      </w:r>
    </w:p>
    <w:p w14:paraId="46440100" w14:textId="77777777" w:rsidR="003D3506" w:rsidRDefault="003D3506" w:rsidP="003D3506">
      <w:pPr>
        <w:pStyle w:val="ListParagraph"/>
        <w:numPr>
          <w:ilvl w:val="0"/>
          <w:numId w:val="25"/>
        </w:numPr>
        <w:spacing w:line="276" w:lineRule="auto"/>
      </w:pPr>
      <w:r>
        <w:t>Relabelling and package waste costs</w:t>
      </w:r>
    </w:p>
    <w:p w14:paraId="3B742507" w14:textId="77777777" w:rsidR="003D3506" w:rsidRDefault="003D3506" w:rsidP="00AD7570"/>
    <w:p w14:paraId="33EEB2A9" w14:textId="05E631D3" w:rsidR="00D57CFD" w:rsidRDefault="34145BF1" w:rsidP="00AD7570">
      <w:r>
        <w:t xml:space="preserve">The </w:t>
      </w:r>
      <w:r w:rsidR="70B86643">
        <w:t xml:space="preserve">full </w:t>
      </w:r>
      <w:r>
        <w:t xml:space="preserve">methodology for calculating the </w:t>
      </w:r>
      <w:r w:rsidR="439D05BB">
        <w:t xml:space="preserve">above </w:t>
      </w:r>
      <w:r>
        <w:t xml:space="preserve">costs and benefits is shown in </w:t>
      </w:r>
      <w:r w:rsidR="00AD7570">
        <w:fldChar w:fldCharType="begin"/>
      </w:r>
      <w:r w:rsidR="00AD7570">
        <w:instrText xml:space="preserve"> REF _Ref165286070 \h </w:instrText>
      </w:r>
      <w:r w:rsidR="00AD7570">
        <w:fldChar w:fldCharType="separate"/>
      </w:r>
      <w:r w:rsidR="703EC078">
        <w:t>Annex I</w:t>
      </w:r>
      <w:r w:rsidR="00AD7570">
        <w:fldChar w:fldCharType="end"/>
      </w:r>
      <w:r w:rsidR="34F61302">
        <w:t xml:space="preserve"> </w:t>
      </w:r>
      <w:r>
        <w:t xml:space="preserve">and </w:t>
      </w:r>
      <w:r w:rsidR="00AD7570">
        <w:fldChar w:fldCharType="begin"/>
      </w:r>
      <w:r w:rsidR="00AD7570">
        <w:instrText xml:space="preserve"> REF _Ref165286084 \h </w:instrText>
      </w:r>
      <w:r w:rsidR="00AD7570">
        <w:fldChar w:fldCharType="separate"/>
      </w:r>
      <w:r w:rsidR="703EC078">
        <w:t>Annex II</w:t>
      </w:r>
      <w:r w:rsidR="00AD7570">
        <w:fldChar w:fldCharType="end"/>
      </w:r>
      <w:r>
        <w:t xml:space="preserve">. The methodology follows </w:t>
      </w:r>
      <w:hyperlink r:id="rId12">
        <w:r w:rsidRPr="0D8D2513">
          <w:rPr>
            <w:rStyle w:val="Hyperlink"/>
            <w:rFonts w:cstheme="minorBidi"/>
            <w:color w:val="0070C0"/>
          </w:rPr>
          <w:t>HMT’s Green Book</w:t>
        </w:r>
      </w:hyperlink>
      <w:r w:rsidRPr="0D8D2513">
        <w:rPr>
          <w:color w:val="0070C0"/>
        </w:rPr>
        <w:t xml:space="preserve"> </w:t>
      </w:r>
      <w:r>
        <w:t>methodology and has been developed in conjunction with analysts in the Department for Health and Social Care (DHSC), Defra and the FSA.</w:t>
      </w:r>
    </w:p>
    <w:p w14:paraId="4820A171" w14:textId="5425A2CC" w:rsidR="00D57CFD" w:rsidRDefault="00D57CFD" w:rsidP="00D57CFD">
      <w:pPr>
        <w:pStyle w:val="Heading2"/>
      </w:pPr>
      <w:r>
        <w:t>Breakdown of Costs and Benefits for Option 5</w:t>
      </w:r>
    </w:p>
    <w:p w14:paraId="76E7FE8A" w14:textId="77777777" w:rsidR="00620C94" w:rsidRDefault="00E55477" w:rsidP="00D57CFD">
      <w:r>
        <w:t>A breakdown of costs and benefits is provided below for Option 5</w:t>
      </w:r>
      <w:r w:rsidR="00F32637">
        <w:t xml:space="preserve"> (t</w:t>
      </w:r>
      <w:r>
        <w:t xml:space="preserve">hese are largely similar between Options 2-5, as evidenced in </w:t>
      </w:r>
      <w:r>
        <w:fldChar w:fldCharType="begin"/>
      </w:r>
      <w:r>
        <w:instrText xml:space="preserve"> REF _Ref165475435 \h </w:instrText>
      </w:r>
      <w:r>
        <w:fldChar w:fldCharType="separate"/>
      </w:r>
      <w:r>
        <w:t xml:space="preserve">Table </w:t>
      </w:r>
      <w:r>
        <w:rPr>
          <w:noProof/>
        </w:rPr>
        <w:t>5</w:t>
      </w:r>
      <w:r>
        <w:fldChar w:fldCharType="end"/>
      </w:r>
      <w:r w:rsidR="00F32637">
        <w:t>)</w:t>
      </w:r>
      <w:r>
        <w:t>.</w:t>
      </w:r>
      <w:r w:rsidR="00620C94">
        <w:t xml:space="preserve"> Rather than just showing the central estimate, we also show the low and high estimates for each cost or benefit.</w:t>
      </w:r>
    </w:p>
    <w:p w14:paraId="2059362A" w14:textId="0F37DEF2" w:rsidR="000E33D5" w:rsidRPr="00D57CFD" w:rsidRDefault="000E33D5" w:rsidP="00D57CFD"/>
    <w:p w14:paraId="27E01FDC" w14:textId="029989DE" w:rsidR="000E33D5" w:rsidRPr="00A55A3F" w:rsidRDefault="000E33D5" w:rsidP="000E33D5">
      <w:pPr>
        <w:pStyle w:val="Caption"/>
        <w:keepNext/>
        <w:rPr>
          <w:color w:val="auto"/>
        </w:rPr>
      </w:pPr>
      <w:r w:rsidRPr="00A55A3F">
        <w:rPr>
          <w:color w:val="auto"/>
        </w:rPr>
        <w:t xml:space="preserve">Table </w:t>
      </w:r>
      <w:r w:rsidRPr="00A55A3F">
        <w:rPr>
          <w:color w:val="auto"/>
        </w:rPr>
        <w:fldChar w:fldCharType="begin"/>
      </w:r>
      <w:r w:rsidRPr="00A55A3F">
        <w:rPr>
          <w:color w:val="auto"/>
        </w:rPr>
        <w:instrText xml:space="preserve"> SEQ Table \* ARABIC </w:instrText>
      </w:r>
      <w:r w:rsidRPr="00A55A3F">
        <w:rPr>
          <w:color w:val="auto"/>
        </w:rPr>
        <w:fldChar w:fldCharType="separate"/>
      </w:r>
      <w:r w:rsidRPr="00A55A3F">
        <w:rPr>
          <w:noProof/>
          <w:color w:val="auto"/>
        </w:rPr>
        <w:t>6</w:t>
      </w:r>
      <w:r w:rsidRPr="00A55A3F">
        <w:rPr>
          <w:color w:val="auto"/>
        </w:rPr>
        <w:fldChar w:fldCharType="end"/>
      </w:r>
      <w:r w:rsidRPr="00A55A3F">
        <w:rPr>
          <w:color w:val="auto"/>
        </w:rPr>
        <w:t xml:space="preserve">. Breakdown of </w:t>
      </w:r>
      <w:r w:rsidR="00611103" w:rsidRPr="00A55A3F">
        <w:rPr>
          <w:color w:val="auto"/>
        </w:rPr>
        <w:t xml:space="preserve">the range of </w:t>
      </w:r>
      <w:r w:rsidRPr="00A55A3F">
        <w:rPr>
          <w:color w:val="auto"/>
        </w:rPr>
        <w:t>estimated benefits</w:t>
      </w:r>
      <w:r w:rsidR="000662BC" w:rsidRPr="00A55A3F">
        <w:rPr>
          <w:color w:val="auto"/>
        </w:rPr>
        <w:t xml:space="preserve"> and costs</w:t>
      </w:r>
      <w:r w:rsidRPr="00A55A3F">
        <w:rPr>
          <w:color w:val="auto"/>
        </w:rPr>
        <w:t xml:space="preserve"> for </w:t>
      </w:r>
      <w:r w:rsidR="00611103" w:rsidRPr="00A55A3F">
        <w:rPr>
          <w:color w:val="auto"/>
        </w:rPr>
        <w:t xml:space="preserve">Option 5 </w:t>
      </w:r>
      <w:r w:rsidRPr="00A55A3F">
        <w:rPr>
          <w:color w:val="auto"/>
        </w:rPr>
        <w:t>(2024 prices, discounted over 10 year appraisal period)</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401"/>
        <w:gridCol w:w="2115"/>
        <w:gridCol w:w="2115"/>
        <w:gridCol w:w="2115"/>
      </w:tblGrid>
      <w:tr w:rsidR="006A4589" w:rsidRPr="008A1535" w14:paraId="0A5E4F9D" w14:textId="77777777" w:rsidTr="00C20675">
        <w:tc>
          <w:tcPr>
            <w:tcW w:w="1745" w:type="pct"/>
            <w:vMerge w:val="restart"/>
            <w:tcBorders>
              <w:top w:val="single" w:sz="4" w:space="0" w:color="auto"/>
              <w:bottom w:val="nil"/>
            </w:tcBorders>
          </w:tcPr>
          <w:p w14:paraId="197FBFF4" w14:textId="3D49FD0C" w:rsidR="006A4589" w:rsidRPr="00BD7164" w:rsidRDefault="006A4589" w:rsidP="0061249C">
            <w:pPr>
              <w:spacing w:line="276" w:lineRule="auto"/>
              <w:rPr>
                <w:b/>
              </w:rPr>
            </w:pPr>
            <w:r>
              <w:rPr>
                <w:b/>
              </w:rPr>
              <w:t>Category</w:t>
            </w:r>
          </w:p>
        </w:tc>
        <w:tc>
          <w:tcPr>
            <w:tcW w:w="3255" w:type="pct"/>
            <w:gridSpan w:val="3"/>
            <w:tcBorders>
              <w:top w:val="single" w:sz="4" w:space="0" w:color="auto"/>
              <w:bottom w:val="nil"/>
            </w:tcBorders>
          </w:tcPr>
          <w:p w14:paraId="152D6A93" w14:textId="1FEA47D4" w:rsidR="006A4589" w:rsidRPr="00BD7164" w:rsidRDefault="006A4589" w:rsidP="0061249C">
            <w:pPr>
              <w:spacing w:line="276" w:lineRule="auto"/>
              <w:rPr>
                <w:b/>
              </w:rPr>
            </w:pPr>
            <w:r>
              <w:rPr>
                <w:b/>
                <w:bCs/>
              </w:rPr>
              <w:t>Value, £000’s 2024</w:t>
            </w:r>
          </w:p>
        </w:tc>
      </w:tr>
      <w:tr w:rsidR="004F26CD" w:rsidRPr="008A1535" w14:paraId="611AE3EA" w14:textId="77777777" w:rsidTr="00C20675">
        <w:tc>
          <w:tcPr>
            <w:tcW w:w="1745" w:type="pct"/>
            <w:vMerge/>
            <w:tcBorders>
              <w:top w:val="nil"/>
              <w:bottom w:val="single" w:sz="4" w:space="0" w:color="auto"/>
            </w:tcBorders>
          </w:tcPr>
          <w:p w14:paraId="5F20F514" w14:textId="77777777" w:rsidR="000E33D5" w:rsidRPr="00BD7164" w:rsidRDefault="000E33D5" w:rsidP="0061249C">
            <w:pPr>
              <w:spacing w:line="276" w:lineRule="auto"/>
              <w:rPr>
                <w:b/>
              </w:rPr>
            </w:pPr>
          </w:p>
        </w:tc>
        <w:tc>
          <w:tcPr>
            <w:tcW w:w="1085" w:type="pct"/>
            <w:tcBorders>
              <w:top w:val="nil"/>
              <w:bottom w:val="single" w:sz="4" w:space="0" w:color="auto"/>
            </w:tcBorders>
          </w:tcPr>
          <w:p w14:paraId="0E66DF34" w14:textId="5392F918" w:rsidR="000E33D5" w:rsidRPr="006D6492" w:rsidRDefault="006A4589" w:rsidP="0061249C">
            <w:pPr>
              <w:spacing w:line="276" w:lineRule="auto"/>
              <w:rPr>
                <w:bCs/>
              </w:rPr>
            </w:pPr>
            <w:r>
              <w:rPr>
                <w:bCs/>
              </w:rPr>
              <w:t>Low estimate</w:t>
            </w:r>
          </w:p>
        </w:tc>
        <w:tc>
          <w:tcPr>
            <w:tcW w:w="1085" w:type="pct"/>
            <w:tcBorders>
              <w:top w:val="nil"/>
              <w:bottom w:val="single" w:sz="4" w:space="0" w:color="auto"/>
              <w:right w:val="nil"/>
            </w:tcBorders>
          </w:tcPr>
          <w:p w14:paraId="1B8D86B0" w14:textId="217D16D4" w:rsidR="000E33D5" w:rsidRPr="006D6492" w:rsidRDefault="006A4589" w:rsidP="0061249C">
            <w:pPr>
              <w:spacing w:line="276" w:lineRule="auto"/>
              <w:rPr>
                <w:bCs/>
              </w:rPr>
            </w:pPr>
            <w:r>
              <w:rPr>
                <w:bCs/>
              </w:rPr>
              <w:t>Central estimate</w:t>
            </w:r>
          </w:p>
        </w:tc>
        <w:tc>
          <w:tcPr>
            <w:tcW w:w="1085" w:type="pct"/>
            <w:tcBorders>
              <w:top w:val="nil"/>
              <w:left w:val="nil"/>
              <w:bottom w:val="single" w:sz="4" w:space="0" w:color="auto"/>
              <w:right w:val="nil"/>
            </w:tcBorders>
          </w:tcPr>
          <w:p w14:paraId="1F74DBA4" w14:textId="4F296F8F" w:rsidR="000E33D5" w:rsidRPr="006D6492" w:rsidRDefault="006A4589" w:rsidP="0061249C">
            <w:pPr>
              <w:spacing w:line="276" w:lineRule="auto"/>
              <w:rPr>
                <w:bCs/>
              </w:rPr>
            </w:pPr>
            <w:r>
              <w:rPr>
                <w:bCs/>
              </w:rPr>
              <w:t>High estimate</w:t>
            </w:r>
          </w:p>
        </w:tc>
      </w:tr>
      <w:tr w:rsidR="004F26CD" w:rsidRPr="008A1535" w14:paraId="55D0C1A8" w14:textId="77777777" w:rsidTr="0096591C">
        <w:tc>
          <w:tcPr>
            <w:tcW w:w="5000" w:type="pct"/>
            <w:gridSpan w:val="4"/>
            <w:tcBorders>
              <w:top w:val="single" w:sz="4" w:space="0" w:color="auto"/>
            </w:tcBorders>
            <w:shd w:val="clear" w:color="auto" w:fill="F2F2F2" w:themeFill="background1" w:themeFillShade="F2"/>
          </w:tcPr>
          <w:p w14:paraId="16585565" w14:textId="5BC8B70D" w:rsidR="004F26CD" w:rsidRPr="004F26CD" w:rsidRDefault="004F26CD" w:rsidP="0061249C">
            <w:pPr>
              <w:spacing w:line="276" w:lineRule="auto"/>
              <w:rPr>
                <w:i/>
                <w:iCs/>
              </w:rPr>
            </w:pPr>
            <w:r>
              <w:rPr>
                <w:i/>
                <w:iCs/>
              </w:rPr>
              <w:t>Public benefits</w:t>
            </w:r>
          </w:p>
        </w:tc>
      </w:tr>
      <w:tr w:rsidR="004F26CD" w:rsidRPr="008A1535" w14:paraId="183FB2B8" w14:textId="77777777" w:rsidTr="00C20675">
        <w:tc>
          <w:tcPr>
            <w:tcW w:w="1745" w:type="pct"/>
          </w:tcPr>
          <w:p w14:paraId="44A22C30" w14:textId="772FBB53" w:rsidR="000E33D5" w:rsidRPr="00A3052B" w:rsidRDefault="00F44B96" w:rsidP="0061249C">
            <w:pPr>
              <w:spacing w:line="276" w:lineRule="auto"/>
            </w:pPr>
            <w:r>
              <w:t xml:space="preserve">  </w:t>
            </w:r>
            <w:r w:rsidR="002536DD">
              <w:t xml:space="preserve"> </w:t>
            </w:r>
            <w:r w:rsidR="001D5A5C">
              <w:t>Health benefits</w:t>
            </w:r>
          </w:p>
        </w:tc>
        <w:tc>
          <w:tcPr>
            <w:tcW w:w="1085" w:type="pct"/>
          </w:tcPr>
          <w:p w14:paraId="1C860555" w14:textId="54370971" w:rsidR="000E33D5" w:rsidRPr="00A3052B" w:rsidRDefault="00C516CF" w:rsidP="0061249C">
            <w:pPr>
              <w:spacing w:line="276" w:lineRule="auto"/>
            </w:pPr>
            <w:r w:rsidRPr="00C516CF">
              <w:t>38,721</w:t>
            </w:r>
          </w:p>
        </w:tc>
        <w:tc>
          <w:tcPr>
            <w:tcW w:w="1085" w:type="pct"/>
            <w:tcBorders>
              <w:right w:val="nil"/>
            </w:tcBorders>
          </w:tcPr>
          <w:p w14:paraId="5C8743D3" w14:textId="4F96B141" w:rsidR="000E33D5" w:rsidRPr="00A3052B" w:rsidRDefault="00B6531F" w:rsidP="0061249C">
            <w:pPr>
              <w:spacing w:line="276" w:lineRule="auto"/>
            </w:pPr>
            <w:r>
              <w:t>59,401</w:t>
            </w:r>
          </w:p>
        </w:tc>
        <w:tc>
          <w:tcPr>
            <w:tcW w:w="1085" w:type="pct"/>
            <w:tcBorders>
              <w:left w:val="nil"/>
              <w:right w:val="nil"/>
            </w:tcBorders>
          </w:tcPr>
          <w:p w14:paraId="4C41ED76" w14:textId="465061CA" w:rsidR="000E33D5" w:rsidRPr="00A3052B" w:rsidRDefault="00AA0F00" w:rsidP="0061249C">
            <w:pPr>
              <w:spacing w:line="276" w:lineRule="auto"/>
            </w:pPr>
            <w:r w:rsidRPr="00AA0F00">
              <w:t>84,482</w:t>
            </w:r>
          </w:p>
        </w:tc>
      </w:tr>
      <w:tr w:rsidR="004F26CD" w:rsidRPr="008A1535" w14:paraId="1BB8E956" w14:textId="77777777" w:rsidTr="00C20675">
        <w:tc>
          <w:tcPr>
            <w:tcW w:w="1745" w:type="pct"/>
          </w:tcPr>
          <w:p w14:paraId="5EB7F111" w14:textId="7D324F64" w:rsidR="000E33D5" w:rsidRPr="00A3052B" w:rsidRDefault="00A26177" w:rsidP="0061249C">
            <w:pPr>
              <w:spacing w:line="276" w:lineRule="auto"/>
            </w:pPr>
            <w:r>
              <w:t xml:space="preserve"> </w:t>
            </w:r>
            <w:r w:rsidR="00D75BB7">
              <w:t xml:space="preserve"> </w:t>
            </w:r>
            <w:r w:rsidR="002536DD">
              <w:t xml:space="preserve"> </w:t>
            </w:r>
            <w:r w:rsidR="00D75BB7">
              <w:t>Increased earnings</w:t>
            </w:r>
          </w:p>
        </w:tc>
        <w:tc>
          <w:tcPr>
            <w:tcW w:w="1085" w:type="pct"/>
          </w:tcPr>
          <w:p w14:paraId="51A80A2B" w14:textId="1D85857D" w:rsidR="000E33D5" w:rsidRPr="00A3052B" w:rsidRDefault="0016721C" w:rsidP="0061249C">
            <w:pPr>
              <w:spacing w:line="276" w:lineRule="auto"/>
            </w:pPr>
            <w:r>
              <w:t>6,245</w:t>
            </w:r>
          </w:p>
        </w:tc>
        <w:tc>
          <w:tcPr>
            <w:tcW w:w="1085" w:type="pct"/>
            <w:tcBorders>
              <w:right w:val="nil"/>
            </w:tcBorders>
          </w:tcPr>
          <w:p w14:paraId="369AEA2A" w14:textId="3103679C" w:rsidR="000E33D5" w:rsidRPr="00A3052B" w:rsidRDefault="001B7E41" w:rsidP="0061249C">
            <w:pPr>
              <w:spacing w:line="276" w:lineRule="auto"/>
            </w:pPr>
            <w:r>
              <w:t>10,585</w:t>
            </w:r>
          </w:p>
        </w:tc>
        <w:tc>
          <w:tcPr>
            <w:tcW w:w="1085" w:type="pct"/>
            <w:tcBorders>
              <w:left w:val="nil"/>
              <w:right w:val="nil"/>
            </w:tcBorders>
          </w:tcPr>
          <w:p w14:paraId="70161F3A" w14:textId="4BE86615" w:rsidR="000E33D5" w:rsidRPr="00A3052B" w:rsidRDefault="00FC7AFB" w:rsidP="0061249C">
            <w:pPr>
              <w:spacing w:line="276" w:lineRule="auto"/>
            </w:pPr>
            <w:r>
              <w:t>16,481</w:t>
            </w:r>
          </w:p>
        </w:tc>
      </w:tr>
      <w:tr w:rsidR="00D75BB7" w:rsidRPr="008A1535" w14:paraId="64DC30D6" w14:textId="77777777" w:rsidTr="0096591C">
        <w:tc>
          <w:tcPr>
            <w:tcW w:w="5000" w:type="pct"/>
            <w:gridSpan w:val="4"/>
            <w:shd w:val="clear" w:color="auto" w:fill="F2F2F2" w:themeFill="background1" w:themeFillShade="F2"/>
          </w:tcPr>
          <w:p w14:paraId="23ED622D" w14:textId="21AFA5A0" w:rsidR="00D75BB7" w:rsidRPr="00D75BB7" w:rsidRDefault="00D75BB7" w:rsidP="0061249C">
            <w:pPr>
              <w:spacing w:line="276" w:lineRule="auto"/>
              <w:rPr>
                <w:i/>
                <w:iCs/>
              </w:rPr>
            </w:pPr>
            <w:r>
              <w:rPr>
                <w:i/>
                <w:iCs/>
              </w:rPr>
              <w:t>Government benefits</w:t>
            </w:r>
          </w:p>
        </w:tc>
      </w:tr>
      <w:tr w:rsidR="006A4589" w:rsidRPr="008A1535" w14:paraId="15C76105" w14:textId="77777777" w:rsidTr="00DA026E">
        <w:tc>
          <w:tcPr>
            <w:tcW w:w="1745" w:type="pct"/>
            <w:tcBorders>
              <w:bottom w:val="nil"/>
            </w:tcBorders>
          </w:tcPr>
          <w:p w14:paraId="6E4A6F6F" w14:textId="0E1CB36E" w:rsidR="000E33D5" w:rsidRPr="00A3052B" w:rsidRDefault="00A26177" w:rsidP="0061249C">
            <w:pPr>
              <w:spacing w:line="276" w:lineRule="auto"/>
            </w:pPr>
            <w:r>
              <w:t xml:space="preserve"> </w:t>
            </w:r>
            <w:r w:rsidR="00D75BB7">
              <w:t xml:space="preserve"> </w:t>
            </w:r>
            <w:r w:rsidR="002536DD">
              <w:t xml:space="preserve"> </w:t>
            </w:r>
            <w:r w:rsidR="005B0B87">
              <w:t>Healthcare cost savings</w:t>
            </w:r>
          </w:p>
        </w:tc>
        <w:tc>
          <w:tcPr>
            <w:tcW w:w="1085" w:type="pct"/>
            <w:tcBorders>
              <w:bottom w:val="nil"/>
            </w:tcBorders>
          </w:tcPr>
          <w:p w14:paraId="38A1F288" w14:textId="4FEA3E14" w:rsidR="000E33D5" w:rsidRPr="00A3052B" w:rsidRDefault="002035B0" w:rsidP="0061249C">
            <w:pPr>
              <w:spacing w:line="276" w:lineRule="auto"/>
            </w:pPr>
            <w:r>
              <w:t>1,362</w:t>
            </w:r>
          </w:p>
        </w:tc>
        <w:tc>
          <w:tcPr>
            <w:tcW w:w="1085" w:type="pct"/>
            <w:tcBorders>
              <w:bottom w:val="nil"/>
              <w:right w:val="nil"/>
            </w:tcBorders>
          </w:tcPr>
          <w:p w14:paraId="37E212F7" w14:textId="6D56F189" w:rsidR="000E33D5" w:rsidRPr="00A3052B" w:rsidRDefault="00F61938" w:rsidP="0061249C">
            <w:pPr>
              <w:spacing w:line="276" w:lineRule="auto"/>
            </w:pPr>
            <w:r>
              <w:t>2,090</w:t>
            </w:r>
          </w:p>
        </w:tc>
        <w:tc>
          <w:tcPr>
            <w:tcW w:w="1085" w:type="pct"/>
            <w:tcBorders>
              <w:left w:val="nil"/>
              <w:bottom w:val="nil"/>
              <w:right w:val="nil"/>
            </w:tcBorders>
          </w:tcPr>
          <w:p w14:paraId="76FE531C" w14:textId="075BC735" w:rsidR="000E33D5" w:rsidRPr="00A3052B" w:rsidRDefault="000064AD" w:rsidP="0061249C">
            <w:pPr>
              <w:spacing w:line="276" w:lineRule="auto"/>
            </w:pPr>
            <w:r>
              <w:t>2,973</w:t>
            </w:r>
          </w:p>
        </w:tc>
      </w:tr>
      <w:tr w:rsidR="0096591C" w:rsidRPr="008A1535" w14:paraId="3A272862" w14:textId="77777777" w:rsidTr="0096591C">
        <w:tc>
          <w:tcPr>
            <w:tcW w:w="5000" w:type="pct"/>
            <w:gridSpan w:val="4"/>
            <w:tcBorders>
              <w:top w:val="nil"/>
              <w:bottom w:val="nil"/>
            </w:tcBorders>
            <w:shd w:val="clear" w:color="auto" w:fill="F2F2F2" w:themeFill="background1" w:themeFillShade="F2"/>
          </w:tcPr>
          <w:p w14:paraId="5D73AFAB" w14:textId="00A8C331" w:rsidR="0096591C" w:rsidRDefault="0096591C" w:rsidP="0061249C">
            <w:pPr>
              <w:spacing w:line="276" w:lineRule="auto"/>
            </w:pPr>
            <w:r>
              <w:rPr>
                <w:i/>
                <w:iCs/>
              </w:rPr>
              <w:t>Industry benefits</w:t>
            </w:r>
          </w:p>
        </w:tc>
      </w:tr>
      <w:tr w:rsidR="00DA026E" w:rsidRPr="008A1535" w14:paraId="0274E409" w14:textId="77777777" w:rsidTr="00DA026E">
        <w:tc>
          <w:tcPr>
            <w:tcW w:w="1745" w:type="pct"/>
            <w:tcBorders>
              <w:top w:val="nil"/>
              <w:bottom w:val="single" w:sz="4" w:space="0" w:color="auto"/>
            </w:tcBorders>
          </w:tcPr>
          <w:p w14:paraId="1BC30932" w14:textId="7E1C3F6D" w:rsidR="00DA026E" w:rsidRDefault="00A26177" w:rsidP="0061249C">
            <w:pPr>
              <w:spacing w:line="276" w:lineRule="auto"/>
            </w:pPr>
            <w:r>
              <w:t xml:space="preserve"> </w:t>
            </w:r>
            <w:r w:rsidR="00DA026E">
              <w:t xml:space="preserve"> </w:t>
            </w:r>
            <w:r w:rsidR="002536DD">
              <w:t xml:space="preserve"> </w:t>
            </w:r>
            <w:r w:rsidR="00DA026E">
              <w:t>Fortification cost saving</w:t>
            </w:r>
            <w:r w:rsidR="00000D69">
              <w:t>s*</w:t>
            </w:r>
          </w:p>
        </w:tc>
        <w:tc>
          <w:tcPr>
            <w:tcW w:w="1085" w:type="pct"/>
            <w:tcBorders>
              <w:top w:val="nil"/>
              <w:bottom w:val="single" w:sz="4" w:space="0" w:color="auto"/>
            </w:tcBorders>
          </w:tcPr>
          <w:p w14:paraId="24448B06" w14:textId="047B4CE4" w:rsidR="00DA026E" w:rsidRDefault="001127FB" w:rsidP="0061249C">
            <w:pPr>
              <w:spacing w:line="276" w:lineRule="auto"/>
            </w:pPr>
            <w:r>
              <w:t>0</w:t>
            </w:r>
          </w:p>
        </w:tc>
        <w:tc>
          <w:tcPr>
            <w:tcW w:w="1085" w:type="pct"/>
            <w:tcBorders>
              <w:top w:val="nil"/>
              <w:bottom w:val="single" w:sz="4" w:space="0" w:color="auto"/>
              <w:right w:val="nil"/>
            </w:tcBorders>
          </w:tcPr>
          <w:p w14:paraId="74962012" w14:textId="4C17C268" w:rsidR="00DA026E" w:rsidRDefault="0034448E" w:rsidP="0061249C">
            <w:pPr>
              <w:spacing w:line="276" w:lineRule="auto"/>
            </w:pPr>
            <w:r>
              <w:t>1</w:t>
            </w:r>
          </w:p>
        </w:tc>
        <w:tc>
          <w:tcPr>
            <w:tcW w:w="1085" w:type="pct"/>
            <w:tcBorders>
              <w:top w:val="nil"/>
              <w:left w:val="nil"/>
              <w:bottom w:val="single" w:sz="4" w:space="0" w:color="auto"/>
              <w:right w:val="nil"/>
            </w:tcBorders>
          </w:tcPr>
          <w:p w14:paraId="3E5949E6" w14:textId="094185FF" w:rsidR="00DA026E" w:rsidRDefault="001127FB" w:rsidP="0061249C">
            <w:pPr>
              <w:spacing w:line="276" w:lineRule="auto"/>
            </w:pPr>
            <w:r>
              <w:t>1</w:t>
            </w:r>
          </w:p>
        </w:tc>
      </w:tr>
      <w:tr w:rsidR="00D75BB7" w:rsidRPr="008A1535" w14:paraId="35C7C080" w14:textId="77777777" w:rsidTr="00935DE5">
        <w:tc>
          <w:tcPr>
            <w:tcW w:w="1745" w:type="pct"/>
            <w:tcBorders>
              <w:top w:val="single" w:sz="4" w:space="0" w:color="auto"/>
              <w:bottom w:val="single" w:sz="4" w:space="0" w:color="auto"/>
            </w:tcBorders>
          </w:tcPr>
          <w:p w14:paraId="092768A9" w14:textId="116C4411" w:rsidR="00D75BB7" w:rsidRPr="00455605" w:rsidRDefault="00455605" w:rsidP="0061249C">
            <w:pPr>
              <w:spacing w:line="276" w:lineRule="auto"/>
              <w:rPr>
                <w:b/>
                <w:bCs/>
              </w:rPr>
            </w:pPr>
            <w:r>
              <w:rPr>
                <w:b/>
                <w:bCs/>
              </w:rPr>
              <w:t>Total benefits</w:t>
            </w:r>
            <w:r w:rsidR="000631E3">
              <w:rPr>
                <w:b/>
                <w:bCs/>
              </w:rPr>
              <w:t>*</w:t>
            </w:r>
            <w:r w:rsidR="00000D69">
              <w:rPr>
                <w:b/>
                <w:bCs/>
              </w:rPr>
              <w:t>*</w:t>
            </w:r>
          </w:p>
        </w:tc>
        <w:tc>
          <w:tcPr>
            <w:tcW w:w="1085" w:type="pct"/>
            <w:tcBorders>
              <w:top w:val="single" w:sz="4" w:space="0" w:color="auto"/>
              <w:bottom w:val="single" w:sz="4" w:space="0" w:color="auto"/>
            </w:tcBorders>
          </w:tcPr>
          <w:p w14:paraId="47E6DB9C" w14:textId="460E396D" w:rsidR="00D75BB7" w:rsidRPr="00C20675" w:rsidRDefault="00390F64" w:rsidP="0061249C">
            <w:pPr>
              <w:spacing w:line="276" w:lineRule="auto"/>
              <w:rPr>
                <w:b/>
                <w:bCs/>
              </w:rPr>
            </w:pPr>
            <w:r>
              <w:rPr>
                <w:b/>
                <w:bCs/>
              </w:rPr>
              <w:t>46,32</w:t>
            </w:r>
            <w:r w:rsidR="00216033">
              <w:rPr>
                <w:b/>
                <w:bCs/>
              </w:rPr>
              <w:t>9</w:t>
            </w:r>
          </w:p>
        </w:tc>
        <w:tc>
          <w:tcPr>
            <w:tcW w:w="1085" w:type="pct"/>
            <w:tcBorders>
              <w:top w:val="single" w:sz="4" w:space="0" w:color="auto"/>
              <w:bottom w:val="single" w:sz="4" w:space="0" w:color="auto"/>
              <w:right w:val="nil"/>
            </w:tcBorders>
          </w:tcPr>
          <w:p w14:paraId="7E83BCB2" w14:textId="3057AC25" w:rsidR="00D75BB7" w:rsidRPr="00C20675" w:rsidRDefault="00C20675" w:rsidP="0061249C">
            <w:pPr>
              <w:spacing w:line="276" w:lineRule="auto"/>
              <w:rPr>
                <w:b/>
                <w:bCs/>
              </w:rPr>
            </w:pPr>
            <w:r w:rsidRPr="00C20675">
              <w:rPr>
                <w:b/>
                <w:bCs/>
              </w:rPr>
              <w:t>72,07</w:t>
            </w:r>
            <w:r w:rsidR="006F1E24">
              <w:rPr>
                <w:b/>
                <w:bCs/>
              </w:rPr>
              <w:t>7</w:t>
            </w:r>
          </w:p>
        </w:tc>
        <w:tc>
          <w:tcPr>
            <w:tcW w:w="1085" w:type="pct"/>
            <w:tcBorders>
              <w:top w:val="single" w:sz="4" w:space="0" w:color="auto"/>
              <w:left w:val="nil"/>
              <w:bottom w:val="single" w:sz="4" w:space="0" w:color="auto"/>
              <w:right w:val="nil"/>
            </w:tcBorders>
          </w:tcPr>
          <w:p w14:paraId="1EEAEE61" w14:textId="53AEFA50" w:rsidR="00D75BB7" w:rsidRPr="00C20675" w:rsidRDefault="00D04DDA" w:rsidP="0061249C">
            <w:pPr>
              <w:spacing w:line="276" w:lineRule="auto"/>
              <w:rPr>
                <w:b/>
                <w:bCs/>
              </w:rPr>
            </w:pPr>
            <w:r>
              <w:rPr>
                <w:b/>
                <w:bCs/>
              </w:rPr>
              <w:t>103,93</w:t>
            </w:r>
            <w:r w:rsidR="00216033">
              <w:rPr>
                <w:b/>
                <w:bCs/>
              </w:rPr>
              <w:t>7</w:t>
            </w:r>
          </w:p>
        </w:tc>
      </w:tr>
      <w:tr w:rsidR="0096591C" w:rsidRPr="008A1535" w14:paraId="456DD7EA" w14:textId="77777777" w:rsidTr="0096591C">
        <w:tc>
          <w:tcPr>
            <w:tcW w:w="5000" w:type="pct"/>
            <w:gridSpan w:val="4"/>
            <w:tcBorders>
              <w:top w:val="single" w:sz="4" w:space="0" w:color="auto"/>
            </w:tcBorders>
            <w:shd w:val="clear" w:color="auto" w:fill="F2F2F2" w:themeFill="background1" w:themeFillShade="F2"/>
          </w:tcPr>
          <w:p w14:paraId="695D9018" w14:textId="2791980A" w:rsidR="0096591C" w:rsidRPr="00A3052B" w:rsidRDefault="0096591C" w:rsidP="0061249C">
            <w:pPr>
              <w:spacing w:line="276" w:lineRule="auto"/>
            </w:pPr>
            <w:r>
              <w:rPr>
                <w:i/>
                <w:iCs/>
              </w:rPr>
              <w:t>Government costs</w:t>
            </w:r>
          </w:p>
        </w:tc>
      </w:tr>
      <w:tr w:rsidR="00D75BB7" w:rsidRPr="008A1535" w14:paraId="59DDF6CD" w14:textId="77777777" w:rsidTr="00C20675">
        <w:tc>
          <w:tcPr>
            <w:tcW w:w="1745" w:type="pct"/>
          </w:tcPr>
          <w:p w14:paraId="5B054B2F" w14:textId="1CBA28D8" w:rsidR="00D75BB7" w:rsidRPr="00A3052B" w:rsidRDefault="00A26177" w:rsidP="0061249C">
            <w:pPr>
              <w:spacing w:line="276" w:lineRule="auto"/>
            </w:pPr>
            <w:r>
              <w:t xml:space="preserve"> </w:t>
            </w:r>
            <w:r w:rsidR="00E16000">
              <w:t xml:space="preserve"> </w:t>
            </w:r>
            <w:r w:rsidR="002536DD">
              <w:t xml:space="preserve"> </w:t>
            </w:r>
            <w:r w:rsidR="00E16000">
              <w:t>Familiarisation</w:t>
            </w:r>
          </w:p>
        </w:tc>
        <w:tc>
          <w:tcPr>
            <w:tcW w:w="1085" w:type="pct"/>
          </w:tcPr>
          <w:p w14:paraId="752220EA" w14:textId="09B43CEC" w:rsidR="00D75BB7" w:rsidRPr="00A3052B" w:rsidRDefault="00040D8A" w:rsidP="0061249C">
            <w:pPr>
              <w:spacing w:line="276" w:lineRule="auto"/>
            </w:pPr>
            <w:r>
              <w:t>1</w:t>
            </w:r>
          </w:p>
        </w:tc>
        <w:tc>
          <w:tcPr>
            <w:tcW w:w="1085" w:type="pct"/>
            <w:tcBorders>
              <w:right w:val="nil"/>
            </w:tcBorders>
          </w:tcPr>
          <w:p w14:paraId="39559EDA" w14:textId="63E12254" w:rsidR="00D75BB7" w:rsidRPr="00A3052B" w:rsidRDefault="00AB433B" w:rsidP="0061249C">
            <w:pPr>
              <w:spacing w:line="276" w:lineRule="auto"/>
            </w:pPr>
            <w:r>
              <w:t>1</w:t>
            </w:r>
          </w:p>
        </w:tc>
        <w:tc>
          <w:tcPr>
            <w:tcW w:w="1085" w:type="pct"/>
            <w:tcBorders>
              <w:left w:val="nil"/>
              <w:right w:val="nil"/>
            </w:tcBorders>
          </w:tcPr>
          <w:p w14:paraId="24BBF620" w14:textId="387DA1B2" w:rsidR="00D75BB7" w:rsidRPr="00A3052B" w:rsidRDefault="006F6068" w:rsidP="0061249C">
            <w:pPr>
              <w:spacing w:line="276" w:lineRule="auto"/>
            </w:pPr>
            <w:r>
              <w:t>2</w:t>
            </w:r>
          </w:p>
        </w:tc>
      </w:tr>
      <w:tr w:rsidR="0096591C" w:rsidRPr="008A1535" w14:paraId="739A9B4F" w14:textId="77777777" w:rsidTr="0096591C">
        <w:tc>
          <w:tcPr>
            <w:tcW w:w="5000" w:type="pct"/>
            <w:gridSpan w:val="4"/>
            <w:shd w:val="clear" w:color="auto" w:fill="F2F2F2" w:themeFill="background1" w:themeFillShade="F2"/>
          </w:tcPr>
          <w:p w14:paraId="6E9F62B5" w14:textId="55AAAE11" w:rsidR="0096591C" w:rsidRPr="00A3052B" w:rsidRDefault="0096591C" w:rsidP="0061249C">
            <w:pPr>
              <w:spacing w:line="276" w:lineRule="auto"/>
            </w:pPr>
            <w:r>
              <w:rPr>
                <w:i/>
                <w:iCs/>
              </w:rPr>
              <w:t>Industry costs</w:t>
            </w:r>
          </w:p>
        </w:tc>
      </w:tr>
      <w:tr w:rsidR="002A612C" w:rsidRPr="008A1535" w14:paraId="3670BB8D" w14:textId="77777777" w:rsidTr="00C20675">
        <w:tc>
          <w:tcPr>
            <w:tcW w:w="1745" w:type="pct"/>
          </w:tcPr>
          <w:p w14:paraId="02DD2308" w14:textId="2CBD9DD8" w:rsidR="002A612C" w:rsidRPr="00A3052B" w:rsidRDefault="00A26177" w:rsidP="0061249C">
            <w:pPr>
              <w:spacing w:line="276" w:lineRule="auto"/>
            </w:pPr>
            <w:r>
              <w:t xml:space="preserve"> </w:t>
            </w:r>
            <w:r w:rsidR="00DC2CE8">
              <w:t xml:space="preserve"> </w:t>
            </w:r>
            <w:r w:rsidR="002536DD">
              <w:t xml:space="preserve"> </w:t>
            </w:r>
            <w:r w:rsidR="00DC2CE8">
              <w:t>Familiarisation</w:t>
            </w:r>
          </w:p>
        </w:tc>
        <w:tc>
          <w:tcPr>
            <w:tcW w:w="1085" w:type="pct"/>
          </w:tcPr>
          <w:p w14:paraId="78959F2D" w14:textId="40F2795C" w:rsidR="002A612C" w:rsidRPr="00A3052B" w:rsidRDefault="00DC2CE8" w:rsidP="0061249C">
            <w:pPr>
              <w:spacing w:line="276" w:lineRule="auto"/>
            </w:pPr>
            <w:r>
              <w:t>1</w:t>
            </w:r>
          </w:p>
        </w:tc>
        <w:tc>
          <w:tcPr>
            <w:tcW w:w="1085" w:type="pct"/>
            <w:tcBorders>
              <w:right w:val="nil"/>
            </w:tcBorders>
          </w:tcPr>
          <w:p w14:paraId="1F08872D" w14:textId="4EEED4C5" w:rsidR="002A612C" w:rsidRPr="00A3052B" w:rsidRDefault="00AB433B" w:rsidP="0061249C">
            <w:pPr>
              <w:spacing w:line="276" w:lineRule="auto"/>
            </w:pPr>
            <w:r>
              <w:t>1</w:t>
            </w:r>
          </w:p>
        </w:tc>
        <w:tc>
          <w:tcPr>
            <w:tcW w:w="1085" w:type="pct"/>
            <w:tcBorders>
              <w:left w:val="nil"/>
              <w:right w:val="nil"/>
            </w:tcBorders>
          </w:tcPr>
          <w:p w14:paraId="25367D46" w14:textId="46B0F7E4" w:rsidR="002A612C" w:rsidRPr="00A3052B" w:rsidRDefault="006F6068" w:rsidP="0061249C">
            <w:pPr>
              <w:spacing w:line="276" w:lineRule="auto"/>
            </w:pPr>
            <w:r>
              <w:t>3</w:t>
            </w:r>
          </w:p>
        </w:tc>
      </w:tr>
      <w:tr w:rsidR="00384E5A" w:rsidRPr="008A1535" w14:paraId="4D584469" w14:textId="77777777" w:rsidTr="00C20675">
        <w:tc>
          <w:tcPr>
            <w:tcW w:w="1745" w:type="pct"/>
          </w:tcPr>
          <w:p w14:paraId="7827EAC4" w14:textId="015D23DD" w:rsidR="00384E5A" w:rsidRDefault="00A26177" w:rsidP="0061249C">
            <w:pPr>
              <w:spacing w:line="276" w:lineRule="auto"/>
            </w:pPr>
            <w:r>
              <w:t xml:space="preserve"> </w:t>
            </w:r>
            <w:r w:rsidR="00384E5A">
              <w:t xml:space="preserve"> </w:t>
            </w:r>
            <w:r w:rsidR="002536DD">
              <w:t xml:space="preserve"> </w:t>
            </w:r>
            <w:r w:rsidR="00384E5A">
              <w:t>Fortification</w:t>
            </w:r>
          </w:p>
        </w:tc>
        <w:tc>
          <w:tcPr>
            <w:tcW w:w="1085" w:type="pct"/>
          </w:tcPr>
          <w:p w14:paraId="2E665E69" w14:textId="4E6582C1" w:rsidR="00384E5A" w:rsidRDefault="005846FB" w:rsidP="0061249C">
            <w:pPr>
              <w:spacing w:line="276" w:lineRule="auto"/>
            </w:pPr>
            <w:r>
              <w:t>10</w:t>
            </w:r>
            <w:r w:rsidR="000B2F60">
              <w:t>3</w:t>
            </w:r>
          </w:p>
        </w:tc>
        <w:tc>
          <w:tcPr>
            <w:tcW w:w="1085" w:type="pct"/>
            <w:tcBorders>
              <w:right w:val="nil"/>
            </w:tcBorders>
          </w:tcPr>
          <w:p w14:paraId="2840A9B4" w14:textId="339AA7CF" w:rsidR="00384E5A" w:rsidRPr="00A3052B" w:rsidRDefault="00823836" w:rsidP="0061249C">
            <w:pPr>
              <w:spacing w:line="276" w:lineRule="auto"/>
            </w:pPr>
            <w:r>
              <w:t>30</w:t>
            </w:r>
            <w:r w:rsidR="00C11220">
              <w:t>8</w:t>
            </w:r>
          </w:p>
        </w:tc>
        <w:tc>
          <w:tcPr>
            <w:tcW w:w="1085" w:type="pct"/>
            <w:tcBorders>
              <w:left w:val="nil"/>
              <w:right w:val="nil"/>
            </w:tcBorders>
          </w:tcPr>
          <w:p w14:paraId="53BB23C6" w14:textId="47253EBE" w:rsidR="00384E5A" w:rsidRPr="00A3052B" w:rsidRDefault="0001275F" w:rsidP="0061249C">
            <w:pPr>
              <w:spacing w:line="276" w:lineRule="auto"/>
            </w:pPr>
            <w:r>
              <w:t>51</w:t>
            </w:r>
            <w:r w:rsidR="000B2F60">
              <w:t>3</w:t>
            </w:r>
          </w:p>
        </w:tc>
      </w:tr>
      <w:tr w:rsidR="002A612C" w:rsidRPr="008A1535" w14:paraId="6CA18936" w14:textId="77777777" w:rsidTr="00C20675">
        <w:tc>
          <w:tcPr>
            <w:tcW w:w="1745" w:type="pct"/>
          </w:tcPr>
          <w:p w14:paraId="73AF09A5" w14:textId="6D359832" w:rsidR="002A612C" w:rsidRPr="00A3052B" w:rsidRDefault="00A26177" w:rsidP="0061249C">
            <w:pPr>
              <w:spacing w:line="276" w:lineRule="auto"/>
            </w:pPr>
            <w:r>
              <w:t xml:space="preserve"> </w:t>
            </w:r>
            <w:r w:rsidR="00384E5A">
              <w:t xml:space="preserve"> </w:t>
            </w:r>
            <w:r w:rsidR="002536DD">
              <w:t xml:space="preserve"> </w:t>
            </w:r>
            <w:r w:rsidR="00384E5A">
              <w:t>Package waste</w:t>
            </w:r>
          </w:p>
        </w:tc>
        <w:tc>
          <w:tcPr>
            <w:tcW w:w="1085" w:type="pct"/>
          </w:tcPr>
          <w:p w14:paraId="1D11FF25" w14:textId="42DE929F" w:rsidR="002A612C" w:rsidRPr="00A3052B" w:rsidRDefault="005846FB" w:rsidP="0061249C">
            <w:pPr>
              <w:spacing w:line="276" w:lineRule="auto"/>
            </w:pPr>
            <w:r>
              <w:t>1,738</w:t>
            </w:r>
          </w:p>
        </w:tc>
        <w:tc>
          <w:tcPr>
            <w:tcW w:w="1085" w:type="pct"/>
            <w:tcBorders>
              <w:right w:val="nil"/>
            </w:tcBorders>
          </w:tcPr>
          <w:p w14:paraId="56760030" w14:textId="0A6185ED" w:rsidR="002A612C" w:rsidRPr="00A3052B" w:rsidRDefault="003B4682" w:rsidP="0061249C">
            <w:pPr>
              <w:spacing w:line="276" w:lineRule="auto"/>
            </w:pPr>
            <w:r>
              <w:t>6,336</w:t>
            </w:r>
          </w:p>
        </w:tc>
        <w:tc>
          <w:tcPr>
            <w:tcW w:w="1085" w:type="pct"/>
            <w:tcBorders>
              <w:left w:val="nil"/>
              <w:right w:val="nil"/>
            </w:tcBorders>
          </w:tcPr>
          <w:p w14:paraId="07F211CD" w14:textId="57252662" w:rsidR="002A612C" w:rsidRPr="00A3052B" w:rsidRDefault="00EC0A8D" w:rsidP="0061249C">
            <w:pPr>
              <w:spacing w:line="276" w:lineRule="auto"/>
            </w:pPr>
            <w:r>
              <w:t>23,804</w:t>
            </w:r>
          </w:p>
        </w:tc>
      </w:tr>
      <w:tr w:rsidR="002A612C" w:rsidRPr="008A1535" w14:paraId="2BDA66DD" w14:textId="77777777" w:rsidTr="00D072ED">
        <w:tc>
          <w:tcPr>
            <w:tcW w:w="1745" w:type="pct"/>
            <w:tcBorders>
              <w:bottom w:val="single" w:sz="4" w:space="0" w:color="auto"/>
            </w:tcBorders>
          </w:tcPr>
          <w:p w14:paraId="5F901FB1" w14:textId="03B3F128" w:rsidR="002A612C" w:rsidRPr="00A3052B" w:rsidRDefault="00A26177" w:rsidP="0061249C">
            <w:pPr>
              <w:spacing w:line="276" w:lineRule="auto"/>
            </w:pPr>
            <w:r>
              <w:t xml:space="preserve"> </w:t>
            </w:r>
            <w:r w:rsidR="00384E5A">
              <w:t xml:space="preserve"> Relabelling</w:t>
            </w:r>
          </w:p>
        </w:tc>
        <w:tc>
          <w:tcPr>
            <w:tcW w:w="1085" w:type="pct"/>
            <w:tcBorders>
              <w:bottom w:val="single" w:sz="4" w:space="0" w:color="auto"/>
            </w:tcBorders>
          </w:tcPr>
          <w:p w14:paraId="371CA769" w14:textId="27234BCA" w:rsidR="002A612C" w:rsidRPr="00A3052B" w:rsidRDefault="005846FB" w:rsidP="0061249C">
            <w:pPr>
              <w:spacing w:line="276" w:lineRule="auto"/>
            </w:pPr>
            <w:r>
              <w:t>2,1</w:t>
            </w:r>
            <w:r w:rsidR="00A95921">
              <w:t>80</w:t>
            </w:r>
          </w:p>
        </w:tc>
        <w:tc>
          <w:tcPr>
            <w:tcW w:w="1085" w:type="pct"/>
            <w:tcBorders>
              <w:bottom w:val="single" w:sz="4" w:space="0" w:color="auto"/>
              <w:right w:val="nil"/>
            </w:tcBorders>
          </w:tcPr>
          <w:p w14:paraId="614F4660" w14:textId="33525FFE" w:rsidR="002A612C" w:rsidRPr="00A3052B" w:rsidRDefault="00890E7A" w:rsidP="0061249C">
            <w:pPr>
              <w:spacing w:line="276" w:lineRule="auto"/>
            </w:pPr>
            <w:r>
              <w:t>2,4</w:t>
            </w:r>
            <w:r w:rsidR="00B122A1">
              <w:t>24</w:t>
            </w:r>
          </w:p>
        </w:tc>
        <w:tc>
          <w:tcPr>
            <w:tcW w:w="1085" w:type="pct"/>
            <w:tcBorders>
              <w:left w:val="nil"/>
              <w:bottom w:val="single" w:sz="4" w:space="0" w:color="auto"/>
              <w:right w:val="nil"/>
            </w:tcBorders>
          </w:tcPr>
          <w:p w14:paraId="394BCBE8" w14:textId="55DAC95B" w:rsidR="002A612C" w:rsidRPr="00A3052B" w:rsidRDefault="008E68B0" w:rsidP="0061249C">
            <w:pPr>
              <w:spacing w:line="276" w:lineRule="auto"/>
            </w:pPr>
            <w:r>
              <w:t>4,596</w:t>
            </w:r>
          </w:p>
        </w:tc>
      </w:tr>
      <w:tr w:rsidR="00D072ED" w:rsidRPr="008A1535" w14:paraId="5D9CA49A" w14:textId="77777777" w:rsidTr="00CC4A08">
        <w:tc>
          <w:tcPr>
            <w:tcW w:w="1745" w:type="pct"/>
            <w:tcBorders>
              <w:top w:val="single" w:sz="4" w:space="0" w:color="auto"/>
              <w:bottom w:val="single" w:sz="4" w:space="0" w:color="auto"/>
            </w:tcBorders>
          </w:tcPr>
          <w:p w14:paraId="3643EB70" w14:textId="017C0710" w:rsidR="00D072ED" w:rsidRPr="00D072ED" w:rsidRDefault="00D072ED" w:rsidP="0061249C">
            <w:pPr>
              <w:spacing w:line="276" w:lineRule="auto"/>
              <w:rPr>
                <w:b/>
                <w:bCs/>
              </w:rPr>
            </w:pPr>
            <w:r>
              <w:rPr>
                <w:b/>
                <w:bCs/>
              </w:rPr>
              <w:t>Total costs</w:t>
            </w:r>
            <w:r w:rsidR="000631E3">
              <w:rPr>
                <w:b/>
                <w:bCs/>
              </w:rPr>
              <w:t>*</w:t>
            </w:r>
            <w:r w:rsidR="00000D69">
              <w:rPr>
                <w:b/>
                <w:bCs/>
              </w:rPr>
              <w:t>*</w:t>
            </w:r>
          </w:p>
        </w:tc>
        <w:tc>
          <w:tcPr>
            <w:tcW w:w="1085" w:type="pct"/>
            <w:tcBorders>
              <w:top w:val="single" w:sz="4" w:space="0" w:color="auto"/>
              <w:bottom w:val="single" w:sz="4" w:space="0" w:color="auto"/>
            </w:tcBorders>
          </w:tcPr>
          <w:p w14:paraId="66ABF922" w14:textId="7A3CA89B" w:rsidR="00D072ED" w:rsidRPr="00D84F21" w:rsidRDefault="00792233" w:rsidP="0061249C">
            <w:pPr>
              <w:spacing w:line="276" w:lineRule="auto"/>
              <w:rPr>
                <w:b/>
                <w:bCs/>
              </w:rPr>
            </w:pPr>
            <w:r w:rsidRPr="00D84F21">
              <w:rPr>
                <w:b/>
                <w:bCs/>
              </w:rPr>
              <w:t>4,</w:t>
            </w:r>
            <w:r w:rsidR="00D84F21" w:rsidRPr="00D84F21">
              <w:rPr>
                <w:b/>
                <w:bCs/>
              </w:rPr>
              <w:t>02</w:t>
            </w:r>
            <w:r w:rsidR="00743AF4">
              <w:rPr>
                <w:b/>
                <w:bCs/>
              </w:rPr>
              <w:t>2</w:t>
            </w:r>
          </w:p>
        </w:tc>
        <w:tc>
          <w:tcPr>
            <w:tcW w:w="1085" w:type="pct"/>
            <w:tcBorders>
              <w:top w:val="single" w:sz="4" w:space="0" w:color="auto"/>
              <w:bottom w:val="single" w:sz="4" w:space="0" w:color="auto"/>
              <w:right w:val="nil"/>
            </w:tcBorders>
          </w:tcPr>
          <w:p w14:paraId="6E817832" w14:textId="2DEFA055" w:rsidR="00D072ED" w:rsidRPr="0071079F" w:rsidRDefault="0071079F" w:rsidP="0061249C">
            <w:pPr>
              <w:spacing w:line="276" w:lineRule="auto"/>
              <w:rPr>
                <w:b/>
                <w:bCs/>
              </w:rPr>
            </w:pPr>
            <w:r w:rsidRPr="0071079F">
              <w:rPr>
                <w:b/>
                <w:bCs/>
              </w:rPr>
              <w:t>9,07</w:t>
            </w:r>
            <w:r w:rsidR="006F1E24">
              <w:rPr>
                <w:b/>
                <w:bCs/>
              </w:rPr>
              <w:t>1</w:t>
            </w:r>
          </w:p>
        </w:tc>
        <w:tc>
          <w:tcPr>
            <w:tcW w:w="1085" w:type="pct"/>
            <w:tcBorders>
              <w:top w:val="single" w:sz="4" w:space="0" w:color="auto"/>
              <w:left w:val="nil"/>
              <w:bottom w:val="single" w:sz="4" w:space="0" w:color="auto"/>
              <w:right w:val="nil"/>
            </w:tcBorders>
          </w:tcPr>
          <w:p w14:paraId="77ED171D" w14:textId="0DDEC138" w:rsidR="00D072ED" w:rsidRPr="003C4B7A" w:rsidRDefault="00930EB9" w:rsidP="0061249C">
            <w:pPr>
              <w:spacing w:line="276" w:lineRule="auto"/>
              <w:rPr>
                <w:b/>
                <w:bCs/>
              </w:rPr>
            </w:pPr>
            <w:r w:rsidRPr="003C4B7A">
              <w:rPr>
                <w:b/>
                <w:bCs/>
              </w:rPr>
              <w:t>28,91</w:t>
            </w:r>
            <w:r w:rsidR="00216033">
              <w:rPr>
                <w:b/>
                <w:bCs/>
              </w:rPr>
              <w:t>8</w:t>
            </w:r>
          </w:p>
        </w:tc>
      </w:tr>
      <w:tr w:rsidR="00CC4A08" w:rsidRPr="00CC4A08" w14:paraId="1FC067C1" w14:textId="77777777" w:rsidTr="00CC4A08">
        <w:tc>
          <w:tcPr>
            <w:tcW w:w="5000" w:type="pct"/>
            <w:gridSpan w:val="4"/>
            <w:tcBorders>
              <w:top w:val="single" w:sz="4" w:space="0" w:color="auto"/>
              <w:bottom w:val="nil"/>
            </w:tcBorders>
          </w:tcPr>
          <w:p w14:paraId="3EE62FB1" w14:textId="6263263F" w:rsidR="00CC4A08" w:rsidRPr="00CC4A08" w:rsidRDefault="00CC4A08" w:rsidP="00CC4A08">
            <w:pPr>
              <w:spacing w:line="276" w:lineRule="auto"/>
              <w:jc w:val="right"/>
              <w:rPr>
                <w:sz w:val="20"/>
                <w:szCs w:val="20"/>
              </w:rPr>
            </w:pPr>
            <w:r>
              <w:rPr>
                <w:sz w:val="20"/>
                <w:szCs w:val="20"/>
              </w:rPr>
              <w:t xml:space="preserve">* </w:t>
            </w:r>
            <w:r w:rsidR="00000D69">
              <w:rPr>
                <w:sz w:val="20"/>
                <w:szCs w:val="20"/>
              </w:rPr>
              <w:t>Small-scale millers only</w:t>
            </w:r>
            <w:r w:rsidR="00A4607E">
              <w:rPr>
                <w:sz w:val="20"/>
                <w:szCs w:val="20"/>
              </w:rPr>
              <w:t xml:space="preserve">; ** </w:t>
            </w:r>
            <w:r>
              <w:rPr>
                <w:sz w:val="20"/>
                <w:szCs w:val="20"/>
              </w:rPr>
              <w:t>Totals may not sum due to rounding.</w:t>
            </w:r>
          </w:p>
        </w:tc>
      </w:tr>
    </w:tbl>
    <w:p w14:paraId="619D94E2" w14:textId="61ADA7CB" w:rsidR="008553FB" w:rsidRDefault="00B005B3" w:rsidP="002A365C">
      <w:pPr>
        <w:pStyle w:val="Heading2"/>
      </w:pPr>
      <w:r>
        <w:t xml:space="preserve">Low and </w:t>
      </w:r>
      <w:r w:rsidR="00700925">
        <w:t>H</w:t>
      </w:r>
      <w:r>
        <w:t xml:space="preserve">igh </w:t>
      </w:r>
      <w:r w:rsidR="00700925">
        <w:t>E</w:t>
      </w:r>
      <w:r>
        <w:t>stimates</w:t>
      </w:r>
    </w:p>
    <w:p w14:paraId="07371AE3" w14:textId="7B607625" w:rsidR="00895505" w:rsidRDefault="00510361" w:rsidP="00C039DE">
      <w:r>
        <w:t>We</w:t>
      </w:r>
      <w:r w:rsidR="00B2244E">
        <w:t xml:space="preserve"> constructed a low and high estimate</w:t>
      </w:r>
      <w:r>
        <w:t xml:space="preserve"> for each Option (as shown above for Option 5)</w:t>
      </w:r>
      <w:r w:rsidR="00B2244E">
        <w:t xml:space="preserve">. </w:t>
      </w:r>
      <w:r w:rsidR="002D0411">
        <w:t xml:space="preserve">By combining our high cost estimate with our low benefit estimate, and vice versa, we </w:t>
      </w:r>
      <w:r w:rsidR="00190A69">
        <w:t>can calculate</w:t>
      </w:r>
      <w:r w:rsidR="002D0411">
        <w:t xml:space="preserve"> the full </w:t>
      </w:r>
      <w:r w:rsidR="00190A69">
        <w:t xml:space="preserve">possible </w:t>
      </w:r>
      <w:r w:rsidR="002D0411">
        <w:t>range of NPVs for each Option</w:t>
      </w:r>
      <w:r w:rsidR="009B1329">
        <w:t>:</w:t>
      </w:r>
    </w:p>
    <w:p w14:paraId="642B8A6F" w14:textId="77777777" w:rsidR="00667270" w:rsidRDefault="00667270" w:rsidP="00AD7570"/>
    <w:p w14:paraId="10A0CC1B" w14:textId="6BC331F1" w:rsidR="00876CAC" w:rsidRPr="00A55A3F" w:rsidRDefault="00876CAC" w:rsidP="002A365C">
      <w:pPr>
        <w:pStyle w:val="Caption"/>
        <w:keepNext/>
        <w:rPr>
          <w:color w:val="auto"/>
        </w:rPr>
      </w:pPr>
      <w:r w:rsidRPr="00A55A3F">
        <w:rPr>
          <w:color w:val="auto"/>
        </w:rPr>
        <w:t xml:space="preserve">Table </w:t>
      </w:r>
      <w:r w:rsidRPr="00A55A3F">
        <w:rPr>
          <w:color w:val="auto"/>
        </w:rPr>
        <w:fldChar w:fldCharType="begin"/>
      </w:r>
      <w:r w:rsidRPr="00A55A3F">
        <w:rPr>
          <w:color w:val="auto"/>
        </w:rPr>
        <w:instrText xml:space="preserve"> SEQ Table \* ARABIC </w:instrText>
      </w:r>
      <w:r w:rsidRPr="00A55A3F">
        <w:rPr>
          <w:color w:val="auto"/>
        </w:rPr>
        <w:fldChar w:fldCharType="separate"/>
      </w:r>
      <w:r w:rsidR="000E33D5" w:rsidRPr="00A55A3F">
        <w:rPr>
          <w:noProof/>
          <w:color w:val="auto"/>
        </w:rPr>
        <w:t>7</w:t>
      </w:r>
      <w:r w:rsidRPr="00A55A3F">
        <w:rPr>
          <w:color w:val="auto"/>
        </w:rPr>
        <w:fldChar w:fldCharType="end"/>
      </w:r>
      <w:r w:rsidRPr="00A55A3F">
        <w:rPr>
          <w:color w:val="auto"/>
        </w:rPr>
        <w:t>. Overview of the range of NPV estimates for each option (2024 prices, discounted over 10 year appraisal period)</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32"/>
        <w:gridCol w:w="2705"/>
        <w:gridCol w:w="2705"/>
        <w:gridCol w:w="2704"/>
      </w:tblGrid>
      <w:tr w:rsidR="00667270" w:rsidRPr="008A1535" w14:paraId="3872DF3E" w14:textId="77777777" w:rsidTr="00667270">
        <w:tc>
          <w:tcPr>
            <w:tcW w:w="837" w:type="pct"/>
            <w:vMerge w:val="restart"/>
            <w:tcBorders>
              <w:top w:val="single" w:sz="4" w:space="0" w:color="auto"/>
              <w:bottom w:val="nil"/>
            </w:tcBorders>
          </w:tcPr>
          <w:p w14:paraId="01FDEABE" w14:textId="77777777" w:rsidR="00667270" w:rsidRPr="00BD7164" w:rsidRDefault="00667270" w:rsidP="00CB45F6">
            <w:pPr>
              <w:spacing w:line="276" w:lineRule="auto"/>
              <w:rPr>
                <w:b/>
              </w:rPr>
            </w:pPr>
            <w:r w:rsidRPr="00BD7164">
              <w:rPr>
                <w:b/>
              </w:rPr>
              <w:t>Option</w:t>
            </w:r>
          </w:p>
        </w:tc>
        <w:tc>
          <w:tcPr>
            <w:tcW w:w="4163" w:type="pct"/>
            <w:gridSpan w:val="3"/>
            <w:tcBorders>
              <w:top w:val="single" w:sz="4" w:space="0" w:color="auto"/>
              <w:bottom w:val="nil"/>
            </w:tcBorders>
          </w:tcPr>
          <w:p w14:paraId="031785C1" w14:textId="68BA3E43" w:rsidR="00667270" w:rsidRPr="00BD7164" w:rsidRDefault="00667270" w:rsidP="00CB45F6">
            <w:pPr>
              <w:spacing w:line="276" w:lineRule="auto"/>
              <w:rPr>
                <w:b/>
              </w:rPr>
            </w:pPr>
            <w:r>
              <w:rPr>
                <w:b/>
              </w:rPr>
              <w:t>Net present value</w:t>
            </w:r>
            <w:r w:rsidR="00191C78">
              <w:rPr>
                <w:b/>
              </w:rPr>
              <w:t xml:space="preserve">, </w:t>
            </w:r>
            <w:r>
              <w:rPr>
                <w:b/>
              </w:rPr>
              <w:t>£000’s 2024</w:t>
            </w:r>
          </w:p>
        </w:tc>
      </w:tr>
      <w:tr w:rsidR="00667270" w:rsidRPr="008A1535" w14:paraId="207A1A1B" w14:textId="77777777" w:rsidTr="002A365C">
        <w:tc>
          <w:tcPr>
            <w:tcW w:w="837" w:type="pct"/>
            <w:vMerge/>
            <w:tcBorders>
              <w:top w:val="nil"/>
              <w:bottom w:val="single" w:sz="4" w:space="0" w:color="auto"/>
            </w:tcBorders>
          </w:tcPr>
          <w:p w14:paraId="29EB3078" w14:textId="77777777" w:rsidR="00667270" w:rsidRPr="00BD7164" w:rsidRDefault="00667270" w:rsidP="00CB45F6">
            <w:pPr>
              <w:spacing w:line="276" w:lineRule="auto"/>
              <w:rPr>
                <w:b/>
              </w:rPr>
            </w:pPr>
          </w:p>
        </w:tc>
        <w:tc>
          <w:tcPr>
            <w:tcW w:w="1388" w:type="pct"/>
            <w:tcBorders>
              <w:top w:val="nil"/>
              <w:bottom w:val="single" w:sz="4" w:space="0" w:color="auto"/>
            </w:tcBorders>
          </w:tcPr>
          <w:p w14:paraId="63CEB287" w14:textId="66F500BA" w:rsidR="00667270" w:rsidRDefault="00667270" w:rsidP="00CB45F6">
            <w:pPr>
              <w:spacing w:line="276" w:lineRule="auto"/>
              <w:rPr>
                <w:bCs/>
              </w:rPr>
            </w:pPr>
            <w:r>
              <w:rPr>
                <w:bCs/>
              </w:rPr>
              <w:t>Low</w:t>
            </w:r>
            <w:r w:rsidR="003D486E">
              <w:rPr>
                <w:bCs/>
              </w:rPr>
              <w:t xml:space="preserve"> benefits</w:t>
            </w:r>
          </w:p>
          <w:p w14:paraId="3EAF43B6" w14:textId="32C08557" w:rsidR="003D486E" w:rsidRPr="006D6492" w:rsidRDefault="003D486E" w:rsidP="00CB45F6">
            <w:pPr>
              <w:spacing w:line="276" w:lineRule="auto"/>
              <w:rPr>
                <w:bCs/>
              </w:rPr>
            </w:pPr>
            <w:r>
              <w:rPr>
                <w:bCs/>
              </w:rPr>
              <w:t>High costs</w:t>
            </w:r>
          </w:p>
        </w:tc>
        <w:tc>
          <w:tcPr>
            <w:tcW w:w="1388" w:type="pct"/>
            <w:tcBorders>
              <w:top w:val="nil"/>
              <w:bottom w:val="single" w:sz="4" w:space="0" w:color="auto"/>
              <w:right w:val="nil"/>
            </w:tcBorders>
          </w:tcPr>
          <w:p w14:paraId="0D9734F2" w14:textId="4DAC1F27" w:rsidR="00667270" w:rsidRDefault="00667270" w:rsidP="00CB45F6">
            <w:pPr>
              <w:spacing w:line="276" w:lineRule="auto"/>
              <w:rPr>
                <w:bCs/>
              </w:rPr>
            </w:pPr>
            <w:r>
              <w:rPr>
                <w:bCs/>
              </w:rPr>
              <w:t>Central</w:t>
            </w:r>
            <w:r w:rsidR="00795BEB">
              <w:rPr>
                <w:bCs/>
              </w:rPr>
              <w:t xml:space="preserve"> benefits</w:t>
            </w:r>
          </w:p>
          <w:p w14:paraId="64C567F8" w14:textId="4F0FA6E9" w:rsidR="00795BEB" w:rsidRPr="006D6492" w:rsidRDefault="00795BEB" w:rsidP="00CB45F6">
            <w:pPr>
              <w:spacing w:line="276" w:lineRule="auto"/>
              <w:rPr>
                <w:bCs/>
              </w:rPr>
            </w:pPr>
            <w:r>
              <w:rPr>
                <w:bCs/>
              </w:rPr>
              <w:t>Central costs</w:t>
            </w:r>
          </w:p>
        </w:tc>
        <w:tc>
          <w:tcPr>
            <w:tcW w:w="1387" w:type="pct"/>
            <w:tcBorders>
              <w:top w:val="nil"/>
              <w:left w:val="nil"/>
              <w:bottom w:val="single" w:sz="4" w:space="0" w:color="auto"/>
              <w:right w:val="nil"/>
            </w:tcBorders>
          </w:tcPr>
          <w:p w14:paraId="0AB09231" w14:textId="6029BB6E" w:rsidR="00667270" w:rsidRDefault="00667270" w:rsidP="00CB45F6">
            <w:pPr>
              <w:spacing w:line="276" w:lineRule="auto"/>
              <w:rPr>
                <w:bCs/>
              </w:rPr>
            </w:pPr>
            <w:r>
              <w:rPr>
                <w:bCs/>
              </w:rPr>
              <w:t>High</w:t>
            </w:r>
            <w:r w:rsidR="003D486E">
              <w:rPr>
                <w:bCs/>
              </w:rPr>
              <w:t xml:space="preserve"> benefits</w:t>
            </w:r>
          </w:p>
          <w:p w14:paraId="0432808B" w14:textId="0DB42CF0" w:rsidR="003D486E" w:rsidRPr="006D6492" w:rsidRDefault="003D486E" w:rsidP="00CB45F6">
            <w:pPr>
              <w:spacing w:line="276" w:lineRule="auto"/>
              <w:rPr>
                <w:bCs/>
              </w:rPr>
            </w:pPr>
            <w:r>
              <w:rPr>
                <w:bCs/>
              </w:rPr>
              <w:t>Low costs</w:t>
            </w:r>
          </w:p>
        </w:tc>
      </w:tr>
      <w:tr w:rsidR="00667270" w:rsidRPr="008A1535" w14:paraId="211F31A0" w14:textId="77777777" w:rsidTr="002A365C">
        <w:tc>
          <w:tcPr>
            <w:tcW w:w="837" w:type="pct"/>
            <w:tcBorders>
              <w:top w:val="single" w:sz="4" w:space="0" w:color="auto"/>
            </w:tcBorders>
          </w:tcPr>
          <w:p w14:paraId="07484DD6" w14:textId="77777777" w:rsidR="00667270" w:rsidRPr="00A3052B" w:rsidRDefault="00667270" w:rsidP="00667270">
            <w:pPr>
              <w:spacing w:line="276" w:lineRule="auto"/>
            </w:pPr>
            <w:r w:rsidRPr="00A3052B">
              <w:t>1</w:t>
            </w:r>
          </w:p>
        </w:tc>
        <w:tc>
          <w:tcPr>
            <w:tcW w:w="1388" w:type="pct"/>
            <w:tcBorders>
              <w:top w:val="single" w:sz="4" w:space="0" w:color="auto"/>
            </w:tcBorders>
          </w:tcPr>
          <w:p w14:paraId="7BDEBDEA" w14:textId="31B13812" w:rsidR="00667270" w:rsidRPr="00A3052B" w:rsidRDefault="00A35ECD" w:rsidP="00667270">
            <w:pPr>
              <w:spacing w:line="276" w:lineRule="auto"/>
            </w:pPr>
            <w:r>
              <w:t>0</w:t>
            </w:r>
          </w:p>
        </w:tc>
        <w:tc>
          <w:tcPr>
            <w:tcW w:w="1388" w:type="pct"/>
            <w:tcBorders>
              <w:top w:val="single" w:sz="4" w:space="0" w:color="auto"/>
              <w:right w:val="nil"/>
            </w:tcBorders>
          </w:tcPr>
          <w:p w14:paraId="2B28BC89" w14:textId="3C0FA9EE" w:rsidR="00667270" w:rsidRPr="00A3052B" w:rsidRDefault="00667270" w:rsidP="00667270">
            <w:pPr>
              <w:spacing w:line="276" w:lineRule="auto"/>
            </w:pPr>
            <w:r>
              <w:t>0</w:t>
            </w:r>
          </w:p>
        </w:tc>
        <w:tc>
          <w:tcPr>
            <w:tcW w:w="1387" w:type="pct"/>
            <w:tcBorders>
              <w:top w:val="single" w:sz="4" w:space="0" w:color="auto"/>
              <w:left w:val="nil"/>
              <w:right w:val="nil"/>
            </w:tcBorders>
          </w:tcPr>
          <w:p w14:paraId="54D5976E" w14:textId="13D1CCDB" w:rsidR="00667270" w:rsidRPr="00A3052B" w:rsidRDefault="00A35ECD" w:rsidP="00667270">
            <w:pPr>
              <w:spacing w:line="276" w:lineRule="auto"/>
            </w:pPr>
            <w:r>
              <w:t>0</w:t>
            </w:r>
          </w:p>
        </w:tc>
      </w:tr>
      <w:tr w:rsidR="000306A0" w:rsidRPr="008A1535" w14:paraId="43CD8EC3" w14:textId="77777777" w:rsidTr="002A365C">
        <w:tc>
          <w:tcPr>
            <w:tcW w:w="837" w:type="pct"/>
          </w:tcPr>
          <w:p w14:paraId="44BF98B9" w14:textId="77777777" w:rsidR="000306A0" w:rsidRPr="00A3052B" w:rsidRDefault="000306A0" w:rsidP="000306A0">
            <w:pPr>
              <w:spacing w:line="276" w:lineRule="auto"/>
            </w:pPr>
            <w:r w:rsidRPr="00A3052B">
              <w:t>2</w:t>
            </w:r>
          </w:p>
        </w:tc>
        <w:tc>
          <w:tcPr>
            <w:tcW w:w="1388" w:type="pct"/>
          </w:tcPr>
          <w:p w14:paraId="0552C3A2" w14:textId="5A67D56B" w:rsidR="000306A0" w:rsidRPr="00A3052B" w:rsidRDefault="000306A0" w:rsidP="000306A0">
            <w:pPr>
              <w:spacing w:line="276" w:lineRule="auto"/>
            </w:pPr>
            <w:r w:rsidRPr="007D7A49">
              <w:t>17,460</w:t>
            </w:r>
          </w:p>
        </w:tc>
        <w:tc>
          <w:tcPr>
            <w:tcW w:w="1388" w:type="pct"/>
            <w:tcBorders>
              <w:right w:val="nil"/>
            </w:tcBorders>
          </w:tcPr>
          <w:p w14:paraId="5327C9D5" w14:textId="7F77D419" w:rsidR="000306A0" w:rsidRPr="00A3052B" w:rsidRDefault="000306A0" w:rsidP="000306A0">
            <w:pPr>
              <w:spacing w:line="276" w:lineRule="auto"/>
            </w:pPr>
            <w:r w:rsidRPr="002C24D1">
              <w:t>63,036</w:t>
            </w:r>
          </w:p>
        </w:tc>
        <w:tc>
          <w:tcPr>
            <w:tcW w:w="1387" w:type="pct"/>
            <w:tcBorders>
              <w:left w:val="nil"/>
              <w:right w:val="nil"/>
            </w:tcBorders>
          </w:tcPr>
          <w:p w14:paraId="3876E21F" w14:textId="5C733FD0" w:rsidR="000306A0" w:rsidRPr="00A3052B" w:rsidRDefault="000306A0" w:rsidP="000306A0">
            <w:pPr>
              <w:spacing w:line="276" w:lineRule="auto"/>
            </w:pPr>
            <w:r w:rsidRPr="001764A9">
              <w:t>99,925</w:t>
            </w:r>
          </w:p>
        </w:tc>
      </w:tr>
      <w:tr w:rsidR="000306A0" w:rsidRPr="008A1535" w14:paraId="41ADB8FD" w14:textId="77777777" w:rsidTr="002A365C">
        <w:tc>
          <w:tcPr>
            <w:tcW w:w="837" w:type="pct"/>
          </w:tcPr>
          <w:p w14:paraId="3FEA9DF7" w14:textId="77777777" w:rsidR="000306A0" w:rsidRPr="00A3052B" w:rsidRDefault="000306A0" w:rsidP="000306A0">
            <w:pPr>
              <w:spacing w:line="276" w:lineRule="auto"/>
            </w:pPr>
            <w:r w:rsidRPr="00A3052B">
              <w:t>3</w:t>
            </w:r>
          </w:p>
        </w:tc>
        <w:tc>
          <w:tcPr>
            <w:tcW w:w="1388" w:type="pct"/>
          </w:tcPr>
          <w:p w14:paraId="26BADF61" w14:textId="4C63F583" w:rsidR="000306A0" w:rsidRPr="00A3052B" w:rsidRDefault="000306A0" w:rsidP="000306A0">
            <w:pPr>
              <w:spacing w:line="276" w:lineRule="auto"/>
            </w:pPr>
            <w:r w:rsidRPr="007D7A49">
              <w:t>17,418</w:t>
            </w:r>
          </w:p>
        </w:tc>
        <w:tc>
          <w:tcPr>
            <w:tcW w:w="1388" w:type="pct"/>
            <w:tcBorders>
              <w:right w:val="nil"/>
            </w:tcBorders>
          </w:tcPr>
          <w:p w14:paraId="6A184D20" w14:textId="22A555ED" w:rsidR="000306A0" w:rsidRPr="00A3052B" w:rsidRDefault="000306A0" w:rsidP="000306A0">
            <w:pPr>
              <w:spacing w:line="276" w:lineRule="auto"/>
            </w:pPr>
            <w:r w:rsidRPr="002C24D1">
              <w:t>63,010</w:t>
            </w:r>
          </w:p>
        </w:tc>
        <w:tc>
          <w:tcPr>
            <w:tcW w:w="1387" w:type="pct"/>
            <w:tcBorders>
              <w:left w:val="nil"/>
              <w:right w:val="nil"/>
            </w:tcBorders>
          </w:tcPr>
          <w:p w14:paraId="4153AA01" w14:textId="31CE9275" w:rsidR="000306A0" w:rsidRPr="00A3052B" w:rsidRDefault="000306A0" w:rsidP="000306A0">
            <w:pPr>
              <w:spacing w:line="276" w:lineRule="auto"/>
            </w:pPr>
            <w:r w:rsidRPr="001764A9">
              <w:t>99,917</w:t>
            </w:r>
          </w:p>
        </w:tc>
      </w:tr>
      <w:tr w:rsidR="000306A0" w:rsidRPr="008A1535" w14:paraId="300CC9A8" w14:textId="77777777" w:rsidTr="002A365C">
        <w:tc>
          <w:tcPr>
            <w:tcW w:w="837" w:type="pct"/>
          </w:tcPr>
          <w:p w14:paraId="409E8678" w14:textId="77777777" w:rsidR="000306A0" w:rsidRPr="00A3052B" w:rsidRDefault="000306A0" w:rsidP="000306A0">
            <w:pPr>
              <w:spacing w:line="276" w:lineRule="auto"/>
            </w:pPr>
            <w:r w:rsidRPr="00A3052B">
              <w:t>4</w:t>
            </w:r>
          </w:p>
        </w:tc>
        <w:tc>
          <w:tcPr>
            <w:tcW w:w="1388" w:type="pct"/>
          </w:tcPr>
          <w:p w14:paraId="1C998B27" w14:textId="5CD5739C" w:rsidR="000306A0" w:rsidRPr="00A3052B" w:rsidRDefault="000306A0" w:rsidP="000306A0">
            <w:pPr>
              <w:spacing w:line="276" w:lineRule="auto"/>
            </w:pPr>
            <w:r w:rsidRPr="007D7A49">
              <w:t>17,418</w:t>
            </w:r>
          </w:p>
        </w:tc>
        <w:tc>
          <w:tcPr>
            <w:tcW w:w="1388" w:type="pct"/>
            <w:tcBorders>
              <w:right w:val="nil"/>
            </w:tcBorders>
          </w:tcPr>
          <w:p w14:paraId="497C1DAD" w14:textId="52E8AAFF" w:rsidR="000306A0" w:rsidRPr="00A3052B" w:rsidRDefault="000306A0" w:rsidP="000306A0">
            <w:pPr>
              <w:spacing w:line="276" w:lineRule="auto"/>
            </w:pPr>
            <w:r w:rsidRPr="002C24D1">
              <w:t>63,010</w:t>
            </w:r>
          </w:p>
        </w:tc>
        <w:tc>
          <w:tcPr>
            <w:tcW w:w="1387" w:type="pct"/>
            <w:tcBorders>
              <w:left w:val="nil"/>
              <w:right w:val="nil"/>
            </w:tcBorders>
          </w:tcPr>
          <w:p w14:paraId="398B4CC4" w14:textId="03C1111A" w:rsidR="000306A0" w:rsidRPr="00A3052B" w:rsidRDefault="000306A0" w:rsidP="000306A0">
            <w:pPr>
              <w:spacing w:line="276" w:lineRule="auto"/>
            </w:pPr>
            <w:r w:rsidRPr="001764A9">
              <w:t>99,917</w:t>
            </w:r>
          </w:p>
        </w:tc>
      </w:tr>
      <w:tr w:rsidR="000306A0" w:rsidRPr="008A1535" w14:paraId="4FB9F44D" w14:textId="77777777" w:rsidTr="002A365C">
        <w:tc>
          <w:tcPr>
            <w:tcW w:w="837" w:type="pct"/>
          </w:tcPr>
          <w:p w14:paraId="75A0EC53" w14:textId="77777777" w:rsidR="000306A0" w:rsidRPr="00A3052B" w:rsidRDefault="000306A0" w:rsidP="000306A0">
            <w:pPr>
              <w:spacing w:line="276" w:lineRule="auto"/>
            </w:pPr>
            <w:r w:rsidRPr="00A3052B">
              <w:t>5</w:t>
            </w:r>
          </w:p>
        </w:tc>
        <w:tc>
          <w:tcPr>
            <w:tcW w:w="1388" w:type="pct"/>
          </w:tcPr>
          <w:p w14:paraId="39971221" w14:textId="20B9B55D" w:rsidR="000306A0" w:rsidRPr="00A3052B" w:rsidRDefault="000306A0" w:rsidP="000306A0">
            <w:pPr>
              <w:spacing w:line="276" w:lineRule="auto"/>
            </w:pPr>
            <w:r w:rsidRPr="007D7A49">
              <w:t>17,411</w:t>
            </w:r>
          </w:p>
        </w:tc>
        <w:tc>
          <w:tcPr>
            <w:tcW w:w="1388" w:type="pct"/>
            <w:tcBorders>
              <w:bottom w:val="single" w:sz="4" w:space="0" w:color="auto"/>
              <w:right w:val="nil"/>
            </w:tcBorders>
          </w:tcPr>
          <w:p w14:paraId="739F5E11" w14:textId="44E24800" w:rsidR="000306A0" w:rsidRPr="00A3052B" w:rsidRDefault="000306A0" w:rsidP="000306A0">
            <w:pPr>
              <w:spacing w:line="276" w:lineRule="auto"/>
            </w:pPr>
            <w:r w:rsidRPr="002C24D1">
              <w:t>63,006</w:t>
            </w:r>
          </w:p>
        </w:tc>
        <w:tc>
          <w:tcPr>
            <w:tcW w:w="1387" w:type="pct"/>
            <w:tcBorders>
              <w:left w:val="nil"/>
              <w:bottom w:val="single" w:sz="4" w:space="0" w:color="auto"/>
              <w:right w:val="nil"/>
            </w:tcBorders>
          </w:tcPr>
          <w:p w14:paraId="43E8A976" w14:textId="0F6F7CFE" w:rsidR="000306A0" w:rsidRPr="00A3052B" w:rsidRDefault="000306A0" w:rsidP="000306A0">
            <w:pPr>
              <w:spacing w:line="276" w:lineRule="auto"/>
            </w:pPr>
            <w:r w:rsidRPr="001764A9">
              <w:t>99,915</w:t>
            </w:r>
          </w:p>
        </w:tc>
      </w:tr>
    </w:tbl>
    <w:p w14:paraId="3896481A" w14:textId="77777777" w:rsidR="00667270" w:rsidRDefault="00667270" w:rsidP="00AD7570"/>
    <w:p w14:paraId="5E35E610" w14:textId="3EF31E52" w:rsidR="00753B71" w:rsidRDefault="00A37E8E" w:rsidP="00C039DE">
      <w:pPr>
        <w:rPr>
          <w:rFonts w:ascii="Arial" w:hAnsi="Arial" w:cs="Arial"/>
        </w:rPr>
      </w:pPr>
      <w:r>
        <w:t xml:space="preserve">Given </w:t>
      </w:r>
      <w:r w:rsidRPr="0029521B">
        <w:t xml:space="preserve">these ranges are manually constructed using a combination of literature estimates, </w:t>
      </w:r>
      <w:r w:rsidR="00372FC6">
        <w:t xml:space="preserve">assumptions, and </w:t>
      </w:r>
      <w:r w:rsidR="006D10D2">
        <w:t>Scottish</w:t>
      </w:r>
      <w:r w:rsidR="003D67D6">
        <w:t xml:space="preserve">, </w:t>
      </w:r>
      <w:r w:rsidR="006D10D2">
        <w:t xml:space="preserve">UK </w:t>
      </w:r>
      <w:r w:rsidR="003D67D6">
        <w:t xml:space="preserve">or international </w:t>
      </w:r>
      <w:r w:rsidRPr="0029521B">
        <w:t xml:space="preserve">data, we have no estimate </w:t>
      </w:r>
      <w:r w:rsidR="00CF7D53">
        <w:t>for</w:t>
      </w:r>
      <w:r w:rsidRPr="0029521B">
        <w:t xml:space="preserve"> the</w:t>
      </w:r>
      <w:r w:rsidR="008E1411" w:rsidRPr="0029521B">
        <w:t xml:space="preserve"> likelihood of </w:t>
      </w:r>
      <w:r w:rsidRPr="0029521B">
        <w:t xml:space="preserve">the </w:t>
      </w:r>
      <w:r w:rsidR="008E1411" w:rsidRPr="0029521B">
        <w:t xml:space="preserve">low or high estimates </w:t>
      </w:r>
      <w:r w:rsidR="00B03C13">
        <w:t xml:space="preserve">(or a value </w:t>
      </w:r>
      <w:r w:rsidR="00F5515A">
        <w:t>in-between</w:t>
      </w:r>
      <w:r w:rsidR="00B03C13">
        <w:t xml:space="preserve">) </w:t>
      </w:r>
      <w:r w:rsidR="008E1411" w:rsidRPr="00E3038A">
        <w:rPr>
          <w:rFonts w:ascii="Arial" w:hAnsi="Arial" w:cs="Arial"/>
        </w:rPr>
        <w:t>occurring</w:t>
      </w:r>
      <w:r w:rsidRPr="00E3038A">
        <w:rPr>
          <w:rFonts w:ascii="Arial" w:hAnsi="Arial" w:cs="Arial"/>
        </w:rPr>
        <w:t>.</w:t>
      </w:r>
      <w:r w:rsidRPr="00E3038A">
        <w:rPr>
          <w:rStyle w:val="FootnoteReference"/>
          <w:rFonts w:ascii="Arial" w:hAnsi="Arial" w:cs="Arial"/>
          <w:sz w:val="24"/>
        </w:rPr>
        <w:footnoteReference w:id="6"/>
      </w:r>
      <w:r w:rsidR="00F5515A">
        <w:rPr>
          <w:rFonts w:ascii="Arial" w:hAnsi="Arial" w:cs="Arial"/>
        </w:rPr>
        <w:t xml:space="preserve"> </w:t>
      </w:r>
      <w:r w:rsidR="008B71BD">
        <w:rPr>
          <w:rFonts w:ascii="Arial" w:hAnsi="Arial" w:cs="Arial"/>
        </w:rPr>
        <w:t>However, a</w:t>
      </w:r>
      <w:r w:rsidR="00F5515A">
        <w:rPr>
          <w:rFonts w:ascii="Arial" w:hAnsi="Arial" w:cs="Arial"/>
        </w:rPr>
        <w:t>ll of the NPVs</w:t>
      </w:r>
      <w:r w:rsidR="00795BEB">
        <w:rPr>
          <w:rFonts w:ascii="Arial" w:hAnsi="Arial" w:cs="Arial"/>
        </w:rPr>
        <w:t xml:space="preserve"> </w:t>
      </w:r>
      <w:r w:rsidR="00F5515A">
        <w:rPr>
          <w:rFonts w:ascii="Arial" w:hAnsi="Arial" w:cs="Arial"/>
        </w:rPr>
        <w:t>above remain positive</w:t>
      </w:r>
      <w:r w:rsidR="00C800C2">
        <w:rPr>
          <w:rFonts w:ascii="Arial" w:hAnsi="Arial" w:cs="Arial"/>
        </w:rPr>
        <w:t xml:space="preserve">, even </w:t>
      </w:r>
      <w:r w:rsidR="00A44933">
        <w:rPr>
          <w:rFonts w:ascii="Arial" w:hAnsi="Arial" w:cs="Arial"/>
        </w:rPr>
        <w:t>if industry costs are on the higher end, and benefits on the lower end</w:t>
      </w:r>
      <w:r w:rsidR="00A8134F">
        <w:rPr>
          <w:rFonts w:ascii="Arial" w:hAnsi="Arial" w:cs="Arial"/>
        </w:rPr>
        <w:t xml:space="preserve"> of our estimate range</w:t>
      </w:r>
      <w:r w:rsidR="00A44933">
        <w:rPr>
          <w:rFonts w:ascii="Arial" w:hAnsi="Arial" w:cs="Arial"/>
        </w:rPr>
        <w:t>.</w:t>
      </w:r>
      <w:bookmarkStart w:id="117" w:name="_Toc141427938"/>
      <w:bookmarkStart w:id="118" w:name="_Toc141428021"/>
      <w:bookmarkStart w:id="119" w:name="_Toc142556677"/>
      <w:bookmarkStart w:id="120" w:name="_Toc164407119"/>
    </w:p>
    <w:p w14:paraId="0B3336AC" w14:textId="77777777" w:rsidR="00753B71" w:rsidRDefault="00753B71" w:rsidP="00C039DE">
      <w:pPr>
        <w:rPr>
          <w:rFonts w:ascii="Arial" w:hAnsi="Arial" w:cs="Arial"/>
        </w:rPr>
      </w:pPr>
    </w:p>
    <w:p w14:paraId="2FB0688D" w14:textId="2E6D279D" w:rsidR="006F1277" w:rsidRDefault="7C012088" w:rsidP="00C039DE">
      <w:pPr>
        <w:rPr>
          <w:rFonts w:ascii="Arial" w:hAnsi="Arial" w:cs="Arial"/>
        </w:rPr>
      </w:pPr>
      <w:r w:rsidRPr="0D8D2513">
        <w:rPr>
          <w:rFonts w:ascii="Arial" w:hAnsi="Arial" w:cs="Arial"/>
        </w:rPr>
        <w:t>The</w:t>
      </w:r>
      <w:r w:rsidR="280768EE" w:rsidRPr="0D8D2513">
        <w:rPr>
          <w:rFonts w:ascii="Arial" w:hAnsi="Arial" w:cs="Arial"/>
        </w:rPr>
        <w:t xml:space="preserve"> similarities in costs and benefits between all Options and the </w:t>
      </w:r>
      <w:r w:rsidR="780A63E3" w:rsidRPr="0D8D2513">
        <w:rPr>
          <w:rFonts w:ascii="Arial" w:hAnsi="Arial" w:cs="Arial"/>
        </w:rPr>
        <w:t xml:space="preserve">large </w:t>
      </w:r>
      <w:r w:rsidR="280768EE" w:rsidRPr="0D8D2513">
        <w:rPr>
          <w:rFonts w:ascii="Arial" w:hAnsi="Arial" w:cs="Arial"/>
        </w:rPr>
        <w:t xml:space="preserve">positive </w:t>
      </w:r>
      <w:r w:rsidR="77B6D2A9" w:rsidRPr="0D8D2513">
        <w:rPr>
          <w:rFonts w:ascii="Arial" w:hAnsi="Arial" w:cs="Arial"/>
        </w:rPr>
        <w:t>NPVs</w:t>
      </w:r>
      <w:r w:rsidRPr="0D8D2513">
        <w:rPr>
          <w:rFonts w:ascii="Arial" w:hAnsi="Arial" w:cs="Arial"/>
        </w:rPr>
        <w:t xml:space="preserve"> </w:t>
      </w:r>
      <w:r w:rsidR="10C2D8E1" w:rsidRPr="0D8D2513">
        <w:rPr>
          <w:rFonts w:ascii="Arial" w:hAnsi="Arial" w:cs="Arial"/>
        </w:rPr>
        <w:t>lend</w:t>
      </w:r>
      <w:r w:rsidRPr="0D8D2513">
        <w:rPr>
          <w:rFonts w:ascii="Arial" w:hAnsi="Arial" w:cs="Arial"/>
        </w:rPr>
        <w:t xml:space="preserve"> </w:t>
      </w:r>
      <w:r w:rsidR="2B61CE69" w:rsidRPr="0D8D2513">
        <w:rPr>
          <w:rFonts w:ascii="Arial" w:hAnsi="Arial" w:cs="Arial"/>
        </w:rPr>
        <w:t xml:space="preserve">credibility </w:t>
      </w:r>
      <w:r w:rsidRPr="0D8D2513">
        <w:rPr>
          <w:rFonts w:ascii="Arial" w:hAnsi="Arial" w:cs="Arial"/>
        </w:rPr>
        <w:t>to any of the four analysed Options.</w:t>
      </w:r>
      <w:r w:rsidR="10C2D8E1" w:rsidRPr="0D8D2513">
        <w:rPr>
          <w:rFonts w:ascii="Arial" w:hAnsi="Arial" w:cs="Arial"/>
        </w:rPr>
        <w:t xml:space="preserve"> Given the </w:t>
      </w:r>
      <w:r w:rsidR="2130937D" w:rsidRPr="0D8D2513">
        <w:rPr>
          <w:rFonts w:ascii="Arial" w:hAnsi="Arial" w:cs="Arial"/>
        </w:rPr>
        <w:t>additional</w:t>
      </w:r>
      <w:r w:rsidR="10C2D8E1" w:rsidRPr="0D8D2513">
        <w:rPr>
          <w:rFonts w:ascii="Arial" w:hAnsi="Arial" w:cs="Arial"/>
        </w:rPr>
        <w:t xml:space="preserve"> benefits of Option 5</w:t>
      </w:r>
      <w:r w:rsidR="7F8E7447" w:rsidRPr="0D8D2513">
        <w:rPr>
          <w:rFonts w:ascii="Arial" w:hAnsi="Arial" w:cs="Arial"/>
        </w:rPr>
        <w:t>, including unmonetised benefits</w:t>
      </w:r>
      <w:r w:rsidR="2130937D" w:rsidRPr="0D8D2513">
        <w:rPr>
          <w:rFonts w:ascii="Arial" w:hAnsi="Arial" w:cs="Arial"/>
        </w:rPr>
        <w:t xml:space="preserve"> like small business viability</w:t>
      </w:r>
      <w:r w:rsidR="7F8E7447" w:rsidRPr="0D8D2513">
        <w:rPr>
          <w:rFonts w:ascii="Arial" w:hAnsi="Arial" w:cs="Arial"/>
        </w:rPr>
        <w:t>, we recommend Option 5 be taken forward.</w:t>
      </w:r>
    </w:p>
    <w:p w14:paraId="210519D0" w14:textId="77777777" w:rsidR="00D44062" w:rsidRDefault="00D44062" w:rsidP="00C039DE"/>
    <w:bookmarkEnd w:id="117"/>
    <w:bookmarkEnd w:id="118"/>
    <w:bookmarkEnd w:id="119"/>
    <w:bookmarkEnd w:id="120"/>
    <w:p w14:paraId="09F697F5" w14:textId="77777777" w:rsidR="00AB6379" w:rsidRDefault="00AB6379" w:rsidP="00874ABD">
      <w:pPr>
        <w:rPr>
          <w:b/>
        </w:rPr>
      </w:pPr>
    </w:p>
    <w:p w14:paraId="54304747" w14:textId="253722CE" w:rsidR="00FA1803" w:rsidRDefault="00A55A3F" w:rsidP="00874ABD">
      <w:pPr>
        <w:rPr>
          <w:b/>
        </w:rPr>
      </w:pPr>
      <w:r>
        <w:rPr>
          <w:b/>
        </w:rPr>
        <w:t xml:space="preserve">Food Standards Scotland </w:t>
      </w:r>
      <w:r w:rsidR="007553F6">
        <w:rPr>
          <w:b/>
        </w:rPr>
        <w:t>c</w:t>
      </w:r>
      <w:r w:rsidR="0087736F" w:rsidRPr="004E03F4">
        <w:rPr>
          <w:b/>
        </w:rPr>
        <w:t>ontact point:</w:t>
      </w:r>
    </w:p>
    <w:p w14:paraId="41358C5E" w14:textId="696DE74C" w:rsidR="00BD7164" w:rsidRDefault="00BD7164" w:rsidP="00874ABD"/>
    <w:p w14:paraId="384F3D47" w14:textId="65CAE84F" w:rsidR="003136BB" w:rsidRDefault="00066505" w:rsidP="00874ABD">
      <w:r>
        <w:t>Lynn Robertson</w:t>
      </w:r>
    </w:p>
    <w:p w14:paraId="3DA680B5" w14:textId="77777777" w:rsidR="00D44062" w:rsidRDefault="00D44062" w:rsidP="00D44062">
      <w:r>
        <w:t>Senior Policy Advisor – Labelling and Standards Policy</w:t>
      </w:r>
    </w:p>
    <w:p w14:paraId="37A47B9E" w14:textId="77777777" w:rsidR="00D44062" w:rsidRDefault="00D44062" w:rsidP="00D44062">
      <w:r>
        <w:t>Food Standards Scotland</w:t>
      </w:r>
    </w:p>
    <w:p w14:paraId="3C272A66" w14:textId="77777777" w:rsidR="00D44062" w:rsidRDefault="00D44062" w:rsidP="00D44062">
      <w:r>
        <w:t>3rd Floor, Pilgrim House, Old Ford Road, Aberdeen, AB11 5RL</w:t>
      </w:r>
    </w:p>
    <w:p w14:paraId="1CB6D10C" w14:textId="77777777" w:rsidR="00D44062" w:rsidRDefault="00D44062" w:rsidP="00D44062">
      <w:r>
        <w:t xml:space="preserve">Lynn.robertson@fss.scot  </w:t>
      </w:r>
    </w:p>
    <w:p w14:paraId="19B3360C" w14:textId="77777777" w:rsidR="007D5587" w:rsidRDefault="007D5587" w:rsidP="00D44062"/>
    <w:p w14:paraId="5CC1ADB5" w14:textId="24D7509A" w:rsidR="007D5587" w:rsidRDefault="007D5587" w:rsidP="00D44062">
      <w:r>
        <w:t xml:space="preserve">Or </w:t>
      </w:r>
    </w:p>
    <w:p w14:paraId="5C5C1E08" w14:textId="77777777" w:rsidR="007D5587" w:rsidRDefault="007D5587" w:rsidP="00D44062"/>
    <w:p w14:paraId="6E880F6B" w14:textId="482ACA87" w:rsidR="007D5587" w:rsidRDefault="007D5587" w:rsidP="00D44062">
      <w:r>
        <w:t xml:space="preserve">Calum Yule </w:t>
      </w:r>
    </w:p>
    <w:p w14:paraId="38CA6F2C" w14:textId="15CFFE1E" w:rsidR="007D5587" w:rsidRDefault="007D5587" w:rsidP="007D5587">
      <w:r>
        <w:t>Policy Advisor – Labelling and Standards Policy</w:t>
      </w:r>
    </w:p>
    <w:p w14:paraId="4917BBC2" w14:textId="77777777" w:rsidR="007D5587" w:rsidRDefault="007D5587" w:rsidP="007D5587">
      <w:r>
        <w:t>Food Standards Scotland</w:t>
      </w:r>
    </w:p>
    <w:p w14:paraId="2E8AD3F9" w14:textId="77777777" w:rsidR="007D5587" w:rsidRDefault="007D5587" w:rsidP="007D5587">
      <w:r>
        <w:t>3rd Floor, Pilgrim House, Old Ford Road, Aberdeen, AB11 5RL</w:t>
      </w:r>
    </w:p>
    <w:p w14:paraId="49180025" w14:textId="32417274" w:rsidR="007D5587" w:rsidRDefault="007D5587" w:rsidP="00D44062">
      <w:r>
        <w:t>Calum.Yule@fss.scot</w:t>
      </w:r>
    </w:p>
    <w:p w14:paraId="2A1C33C6" w14:textId="16FAF638" w:rsidR="003136BB" w:rsidRDefault="003136BB">
      <w:pPr>
        <w:spacing w:line="240" w:lineRule="auto"/>
        <w:jc w:val="both"/>
      </w:pPr>
      <w:r>
        <w:br w:type="page"/>
      </w:r>
    </w:p>
    <w:p w14:paraId="34C47A2B" w14:textId="0BFB3A68" w:rsidR="003136BB" w:rsidRDefault="4F7F1290" w:rsidP="00DD3CD6">
      <w:pPr>
        <w:pStyle w:val="Heading1"/>
      </w:pPr>
      <w:bookmarkStart w:id="121" w:name="_Toc141427939"/>
      <w:bookmarkStart w:id="122" w:name="_Toc141428022"/>
      <w:bookmarkStart w:id="123" w:name="_Toc142556678"/>
      <w:bookmarkStart w:id="124" w:name="_Toc164407120"/>
      <w:bookmarkStart w:id="125" w:name="_Ref165286070"/>
      <w:bookmarkStart w:id="126" w:name="_Toc165382852"/>
      <w:r>
        <w:t>Annex</w:t>
      </w:r>
      <w:bookmarkEnd w:id="121"/>
      <w:bookmarkEnd w:id="122"/>
      <w:bookmarkEnd w:id="123"/>
      <w:r w:rsidR="04ED28C6">
        <w:t xml:space="preserve"> I. </w:t>
      </w:r>
      <w:r w:rsidR="7552EE50">
        <w:t xml:space="preserve">Calculation of </w:t>
      </w:r>
      <w:r w:rsidR="7DB3A03D">
        <w:t>Benefits</w:t>
      </w:r>
      <w:bookmarkEnd w:id="124"/>
      <w:bookmarkEnd w:id="125"/>
      <w:bookmarkEnd w:id="126"/>
    </w:p>
    <w:p w14:paraId="1562B048" w14:textId="12DA87BF" w:rsidR="003136BB" w:rsidRDefault="711156A0" w:rsidP="00DA0433">
      <w:pPr>
        <w:pStyle w:val="Heading2"/>
      </w:pPr>
      <w:r>
        <w:t>Option 2</w:t>
      </w:r>
      <w:r w:rsidR="371533B6">
        <w:t xml:space="preserve"> (folic acid fortification only)</w:t>
      </w:r>
    </w:p>
    <w:p w14:paraId="51739B17" w14:textId="77777777" w:rsidR="00492345" w:rsidRDefault="00492345" w:rsidP="00492345">
      <w:r>
        <w:t xml:space="preserve">The benefits of folic acid fortification for England were modelled by the Department of Health and Social Care. The same methodology was applied for Scotland, adapting data where possible to align more closely to Scotland’s </w:t>
      </w:r>
      <w:r w:rsidRPr="004E66C2">
        <w:rPr>
          <w:rFonts w:cstheme="minorHAnsi"/>
        </w:rPr>
        <w:t>population.</w:t>
      </w:r>
      <w:r w:rsidRPr="004E66C2">
        <w:rPr>
          <w:rStyle w:val="FootnoteReference"/>
          <w:rFonts w:asciiTheme="minorHAnsi" w:hAnsiTheme="minorHAnsi" w:cstheme="minorHAnsi"/>
          <w:sz w:val="24"/>
        </w:rPr>
        <w:footnoteReference w:id="7"/>
      </w:r>
    </w:p>
    <w:p w14:paraId="5B11ADDA" w14:textId="77777777" w:rsidR="00492345" w:rsidRDefault="00492345" w:rsidP="00492345"/>
    <w:p w14:paraId="50475EA2" w14:textId="77777777" w:rsidR="00492345" w:rsidRDefault="00492345" w:rsidP="00492345">
      <w:r>
        <w:t>The analysis makes a number of broad assumptions about birth rates, NTD prevalence, reductions in NTD risk due to increased folate intake, health- and social care costs, labour market participation, and representative incomes. A low, central, and high estimate have been provided in an attempt to capture some of the uncertainty surrounding these assumptions.</w:t>
      </w:r>
    </w:p>
    <w:p w14:paraId="69FBEB96" w14:textId="77777777" w:rsidR="005F4E3D" w:rsidRDefault="005F4E3D" w:rsidP="00492345"/>
    <w:p w14:paraId="4608336A" w14:textId="2982B5AA" w:rsidR="005F4E3D" w:rsidRPr="007F7B64" w:rsidRDefault="005F4E3D" w:rsidP="005F4E3D">
      <w:pPr>
        <w:pStyle w:val="Caption"/>
        <w:keepNext/>
        <w:rPr>
          <w:color w:val="auto"/>
        </w:rPr>
      </w:pPr>
      <w:r w:rsidRPr="007F7B64">
        <w:rPr>
          <w:color w:val="auto"/>
        </w:rPr>
        <w:t xml:space="preserve">Table </w:t>
      </w:r>
      <w:r w:rsidR="00000F90" w:rsidRPr="007F7B64">
        <w:rPr>
          <w:color w:val="auto"/>
        </w:rPr>
        <w:fldChar w:fldCharType="begin"/>
      </w:r>
      <w:r w:rsidR="00000F90" w:rsidRPr="007F7B64">
        <w:rPr>
          <w:color w:val="auto"/>
        </w:rPr>
        <w:instrText xml:space="preserve"> SEQ Table \* ARABIC </w:instrText>
      </w:r>
      <w:r w:rsidR="00000F90" w:rsidRPr="007F7B64">
        <w:rPr>
          <w:color w:val="auto"/>
        </w:rPr>
        <w:fldChar w:fldCharType="separate"/>
      </w:r>
      <w:r w:rsidR="000E33D5" w:rsidRPr="007F7B64">
        <w:rPr>
          <w:noProof/>
          <w:color w:val="auto"/>
        </w:rPr>
        <w:t>8</w:t>
      </w:r>
      <w:r w:rsidR="00000F90" w:rsidRPr="007F7B64">
        <w:rPr>
          <w:noProof/>
          <w:color w:val="auto"/>
        </w:rPr>
        <w:fldChar w:fldCharType="end"/>
      </w:r>
      <w:r w:rsidRPr="007F7B64">
        <w:rPr>
          <w:color w:val="auto"/>
        </w:rPr>
        <w:t>. Assumptions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613"/>
        <w:gridCol w:w="4561"/>
        <w:gridCol w:w="4562"/>
      </w:tblGrid>
      <w:tr w:rsidR="00492345" w14:paraId="0ECCB697" w14:textId="77777777" w:rsidTr="00100744">
        <w:tc>
          <w:tcPr>
            <w:tcW w:w="613" w:type="dxa"/>
          </w:tcPr>
          <w:p w14:paraId="56345611" w14:textId="77777777" w:rsidR="00492345" w:rsidRDefault="00492345" w:rsidP="00100744">
            <w:r>
              <w:t>A1</w:t>
            </w:r>
          </w:p>
        </w:tc>
        <w:tc>
          <w:tcPr>
            <w:tcW w:w="4561" w:type="dxa"/>
          </w:tcPr>
          <w:p w14:paraId="30D69B66" w14:textId="2029780E" w:rsidR="00492345" w:rsidRDefault="00492345" w:rsidP="00100744">
            <w:r>
              <w:t>Flour is fortified at 250μg per 100g flour</w:t>
            </w:r>
            <w:r w:rsidR="00910602">
              <w:t>.</w:t>
            </w:r>
          </w:p>
        </w:tc>
        <w:tc>
          <w:tcPr>
            <w:tcW w:w="4562" w:type="dxa"/>
          </w:tcPr>
          <w:p w14:paraId="34146E00" w14:textId="77777777" w:rsidR="00492345" w:rsidRDefault="00492345" w:rsidP="00100744">
            <w:r>
              <w:t>Policy option.</w:t>
            </w:r>
          </w:p>
        </w:tc>
      </w:tr>
      <w:tr w:rsidR="00492345" w14:paraId="4F141044" w14:textId="77777777" w:rsidTr="00100744">
        <w:tc>
          <w:tcPr>
            <w:tcW w:w="613" w:type="dxa"/>
          </w:tcPr>
          <w:p w14:paraId="5E85885C" w14:textId="77777777" w:rsidR="00492345" w:rsidRDefault="00492345" w:rsidP="00100744">
            <w:r>
              <w:t>A2</w:t>
            </w:r>
          </w:p>
        </w:tc>
        <w:tc>
          <w:tcPr>
            <w:tcW w:w="4561" w:type="dxa"/>
          </w:tcPr>
          <w:p w14:paraId="43CD1287" w14:textId="55A5DFE5" w:rsidR="00492345" w:rsidRDefault="00492345" w:rsidP="00100744">
            <w:r>
              <w:t>The baseline risk of NTDs remains constant throughout the assessment period</w:t>
            </w:r>
            <w:r w:rsidR="00910602">
              <w:t>.</w:t>
            </w:r>
          </w:p>
        </w:tc>
        <w:tc>
          <w:tcPr>
            <w:tcW w:w="4562" w:type="dxa"/>
          </w:tcPr>
          <w:p w14:paraId="2D4CAE78" w14:textId="77777777" w:rsidR="00492345" w:rsidRDefault="00492345" w:rsidP="00100744">
            <w:r w:rsidRPr="00D11F22">
              <w:t>Simplicity and lack of evidence to the contrary</w:t>
            </w:r>
            <w:r>
              <w:t>.</w:t>
            </w:r>
            <w:r>
              <w:br/>
            </w:r>
            <w:r>
              <w:br/>
            </w:r>
            <w:r w:rsidRPr="00D11F22">
              <w:t>Although we have seen a worsening trends in</w:t>
            </w:r>
            <w:r>
              <w:t xml:space="preserve"> </w:t>
            </w:r>
            <w:r w:rsidRPr="00D11F22">
              <w:t xml:space="preserve">blood folate levels, in recent years, NTD rates have been fairly stable. </w:t>
            </w:r>
          </w:p>
          <w:p w14:paraId="71CDFADF" w14:textId="77777777" w:rsidR="00492345" w:rsidRDefault="00492345" w:rsidP="00100744"/>
          <w:p w14:paraId="061E2F95" w14:textId="77777777" w:rsidR="00492345" w:rsidRDefault="00492345" w:rsidP="00100744">
            <w:r w:rsidRPr="00D11F22">
              <w:t>Moreover</w:t>
            </w:r>
            <w:r>
              <w:t xml:space="preserve">, </w:t>
            </w:r>
            <w:r w:rsidRPr="00D11F22">
              <w:t>89% of women aged 16-49 already have blood folate levels below a threshold indicating elevated risk of NTD affected pregnancies so we’re unlikely to see a significant change over the 10 year policy period.</w:t>
            </w:r>
          </w:p>
        </w:tc>
      </w:tr>
      <w:tr w:rsidR="00492345" w14:paraId="5C9E4B51" w14:textId="77777777" w:rsidTr="00100744">
        <w:tc>
          <w:tcPr>
            <w:tcW w:w="613" w:type="dxa"/>
          </w:tcPr>
          <w:p w14:paraId="4FC0CFD4" w14:textId="77777777" w:rsidR="00492345" w:rsidRDefault="00492345" w:rsidP="00100744">
            <w:r>
              <w:t>A3</w:t>
            </w:r>
          </w:p>
        </w:tc>
        <w:tc>
          <w:tcPr>
            <w:tcW w:w="4561" w:type="dxa"/>
          </w:tcPr>
          <w:p w14:paraId="32F1CAAA" w14:textId="23C437B5" w:rsidR="00492345" w:rsidRDefault="00492345" w:rsidP="00100744">
            <w:r>
              <w:t>The birth rate remains stable over the 10 year policy period</w:t>
            </w:r>
            <w:r w:rsidR="00910602">
              <w:t>.</w:t>
            </w:r>
          </w:p>
        </w:tc>
        <w:tc>
          <w:tcPr>
            <w:tcW w:w="4562" w:type="dxa"/>
          </w:tcPr>
          <w:p w14:paraId="00F89CA6" w14:textId="77777777" w:rsidR="00492345" w:rsidRDefault="00492345" w:rsidP="00100744">
            <w:r>
              <w:t>The ONS forecasts the birth rate to remain relatively stable over the next 10 years; for simplicity’s sake we assume it remains exactly stable.</w:t>
            </w:r>
          </w:p>
        </w:tc>
      </w:tr>
      <w:tr w:rsidR="00492345" w14:paraId="7AC40FC6" w14:textId="77777777" w:rsidTr="00100744">
        <w:tc>
          <w:tcPr>
            <w:tcW w:w="613" w:type="dxa"/>
          </w:tcPr>
          <w:p w14:paraId="3FBC596A" w14:textId="2DB71007" w:rsidR="00492345" w:rsidRDefault="004F4EF2" w:rsidP="00100744">
            <w:r>
              <w:t>A4</w:t>
            </w:r>
          </w:p>
        </w:tc>
        <w:tc>
          <w:tcPr>
            <w:tcW w:w="4561" w:type="dxa"/>
          </w:tcPr>
          <w:p w14:paraId="3690C5F2" w14:textId="3FF67069" w:rsidR="00492345" w:rsidRDefault="00D64906" w:rsidP="00100744">
            <w:r>
              <w:t xml:space="preserve">30% of women of child-bearing age already take </w:t>
            </w:r>
            <w:r w:rsidR="00D35D3E">
              <w:t>the recommended daily 400μg folic acid supplement</w:t>
            </w:r>
            <w:r w:rsidR="00910602">
              <w:t>.</w:t>
            </w:r>
          </w:p>
        </w:tc>
        <w:tc>
          <w:tcPr>
            <w:tcW w:w="4562" w:type="dxa"/>
          </w:tcPr>
          <w:p w14:paraId="6B06B113" w14:textId="77777777" w:rsidR="00492345" w:rsidRDefault="00492345" w:rsidP="00100744"/>
        </w:tc>
      </w:tr>
      <w:tr w:rsidR="00DA34EB" w14:paraId="365E034B" w14:textId="77777777" w:rsidTr="00100744">
        <w:tc>
          <w:tcPr>
            <w:tcW w:w="613" w:type="dxa"/>
          </w:tcPr>
          <w:p w14:paraId="02CE96D2" w14:textId="71099227" w:rsidR="00DA34EB" w:rsidRDefault="00910602" w:rsidP="00100744">
            <w:r>
              <w:t>A5</w:t>
            </w:r>
          </w:p>
        </w:tc>
        <w:tc>
          <w:tcPr>
            <w:tcW w:w="4561" w:type="dxa"/>
          </w:tcPr>
          <w:p w14:paraId="4A7CBB39" w14:textId="4AEF18E6" w:rsidR="00DA34EB" w:rsidDel="00DA34EB" w:rsidRDefault="004F4EF2" w:rsidP="00100744">
            <w:r>
              <w:t xml:space="preserve">The average results of two different models for </w:t>
            </w:r>
            <w:r w:rsidR="000339C6">
              <w:t xml:space="preserve">estimating the impact on NTD risk from </w:t>
            </w:r>
            <w:r w:rsidR="00560B76">
              <w:t>NWWF fortification</w:t>
            </w:r>
            <w:r w:rsidR="003F7987">
              <w:t xml:space="preserve"> (and </w:t>
            </w:r>
            <w:r w:rsidR="007F6C8C" w:rsidRPr="007F6C8C">
              <w:t>±20% low and high</w:t>
            </w:r>
            <w:r w:rsidR="007F6C8C">
              <w:t xml:space="preserve"> estimates) are an accurate representation of the </w:t>
            </w:r>
            <w:r w:rsidR="002C3D90">
              <w:t xml:space="preserve">possible </w:t>
            </w:r>
            <w:r w:rsidR="007F6C8C">
              <w:t>spread</w:t>
            </w:r>
            <w:r w:rsidR="001541A6">
              <w:t xml:space="preserve"> of risk reduction</w:t>
            </w:r>
            <w:r w:rsidR="002C3D90">
              <w:t xml:space="preserve"> percentages</w:t>
            </w:r>
            <w:r w:rsidR="003B7292">
              <w:t xml:space="preserve"> and are the same across all types of NTD.</w:t>
            </w:r>
          </w:p>
        </w:tc>
        <w:tc>
          <w:tcPr>
            <w:tcW w:w="4562" w:type="dxa"/>
          </w:tcPr>
          <w:p w14:paraId="2E2757BF" w14:textId="72687255" w:rsidR="00DA34EB" w:rsidRDefault="00910602" w:rsidP="00100744">
            <w:r>
              <w:t>This is the same assumption DHSC makes in their analysis and incorporates the most relevant estimates into the analysis.</w:t>
            </w:r>
          </w:p>
        </w:tc>
      </w:tr>
      <w:tr w:rsidR="00DA34EB" w14:paraId="6F66D5EE" w14:textId="77777777" w:rsidTr="00100744">
        <w:tc>
          <w:tcPr>
            <w:tcW w:w="613" w:type="dxa"/>
          </w:tcPr>
          <w:p w14:paraId="05B70758" w14:textId="60989E05" w:rsidR="00DA34EB" w:rsidRDefault="00910602" w:rsidP="00100744">
            <w:r>
              <w:t>A6</w:t>
            </w:r>
          </w:p>
        </w:tc>
        <w:tc>
          <w:tcPr>
            <w:tcW w:w="4561" w:type="dxa"/>
          </w:tcPr>
          <w:p w14:paraId="59A172DD" w14:textId="685B1AD3" w:rsidR="00DA34EB" w:rsidDel="00DA34EB" w:rsidRDefault="00FC6C12" w:rsidP="00100744">
            <w:r>
              <w:t xml:space="preserve">The </w:t>
            </w:r>
            <w:r w:rsidR="007D593E">
              <w:t xml:space="preserve">lifetime health profile of a typical individual from the </w:t>
            </w:r>
            <w:r>
              <w:t>English</w:t>
            </w:r>
            <w:r w:rsidR="007D593E">
              <w:t xml:space="preserve"> population is representative for an individual from the Scottish population</w:t>
            </w:r>
            <w:r w:rsidR="00D84FF7">
              <w:t xml:space="preserve"> (incl. its standard deviation)</w:t>
            </w:r>
          </w:p>
        </w:tc>
        <w:tc>
          <w:tcPr>
            <w:tcW w:w="4562" w:type="dxa"/>
          </w:tcPr>
          <w:p w14:paraId="21C07575" w14:textId="77777777" w:rsidR="00DA34EB" w:rsidRDefault="00DA34EB" w:rsidP="00100744"/>
        </w:tc>
      </w:tr>
      <w:tr w:rsidR="00DA34EB" w14:paraId="38B6E00F" w14:textId="77777777" w:rsidTr="00100744">
        <w:tc>
          <w:tcPr>
            <w:tcW w:w="613" w:type="dxa"/>
          </w:tcPr>
          <w:p w14:paraId="00A1AD12" w14:textId="6D95BF12" w:rsidR="00DA34EB" w:rsidRDefault="00D84FF7" w:rsidP="00100744">
            <w:r>
              <w:t>A7</w:t>
            </w:r>
          </w:p>
        </w:tc>
        <w:tc>
          <w:tcPr>
            <w:tcW w:w="4561" w:type="dxa"/>
          </w:tcPr>
          <w:p w14:paraId="557944C9" w14:textId="5783520B" w:rsidR="00DA34EB" w:rsidDel="00DA34EB" w:rsidRDefault="007F57D6" w:rsidP="00100744">
            <w:r>
              <w:t>The average life expectancy for a newborn in the UK in 2020 (81 years) is representative for a newborn in Scotland throughout the appraisal period of this policy.</w:t>
            </w:r>
          </w:p>
        </w:tc>
        <w:tc>
          <w:tcPr>
            <w:tcW w:w="4562" w:type="dxa"/>
          </w:tcPr>
          <w:p w14:paraId="2850A42B" w14:textId="77777777" w:rsidR="00DA34EB" w:rsidRDefault="00DA34EB" w:rsidP="00100744"/>
        </w:tc>
      </w:tr>
      <w:tr w:rsidR="00DA34EB" w14:paraId="3E440689" w14:textId="77777777" w:rsidTr="00100744">
        <w:tc>
          <w:tcPr>
            <w:tcW w:w="613" w:type="dxa"/>
          </w:tcPr>
          <w:p w14:paraId="15E066DD" w14:textId="32340845" w:rsidR="00DA34EB" w:rsidRDefault="00EA0B5A" w:rsidP="00100744">
            <w:r>
              <w:t>A8</w:t>
            </w:r>
          </w:p>
        </w:tc>
        <w:tc>
          <w:tcPr>
            <w:tcW w:w="4561" w:type="dxa"/>
          </w:tcPr>
          <w:p w14:paraId="5CD6F291" w14:textId="34CA46EE" w:rsidR="00DA34EB" w:rsidDel="00DA34EB" w:rsidRDefault="004209DE" w:rsidP="00100744">
            <w:r>
              <w:t>The life expectancy</w:t>
            </w:r>
            <w:r w:rsidR="00B6784B">
              <w:t xml:space="preserve">, </w:t>
            </w:r>
            <w:r>
              <w:t>quality of life</w:t>
            </w:r>
            <w:r w:rsidR="00B6784B">
              <w:t xml:space="preserve">, and healthcare costs </w:t>
            </w:r>
            <w:r>
              <w:t xml:space="preserve">for a newborn with </w:t>
            </w:r>
            <w:r w:rsidR="000B7A52">
              <w:t>Spina Bif</w:t>
            </w:r>
            <w:r w:rsidR="00C0566A">
              <w:t>i</w:t>
            </w:r>
            <w:r w:rsidR="000B7A52">
              <w:t>da is the same as those for a newborn with Encephalocele</w:t>
            </w:r>
            <w:r w:rsidR="00954BC9">
              <w:t>.</w:t>
            </w:r>
          </w:p>
        </w:tc>
        <w:tc>
          <w:tcPr>
            <w:tcW w:w="4562" w:type="dxa"/>
          </w:tcPr>
          <w:p w14:paraId="3D248D0D" w14:textId="3AE0E192" w:rsidR="00DA34EB" w:rsidRDefault="008022ED" w:rsidP="00100744">
            <w:r>
              <w:t xml:space="preserve">There was a lack of data on </w:t>
            </w:r>
            <w:r w:rsidR="000B712D">
              <w:t>these measures</w:t>
            </w:r>
            <w:r>
              <w:t xml:space="preserve"> for individuals with Encephalocele</w:t>
            </w:r>
            <w:r w:rsidR="00092C21">
              <w:t>.</w:t>
            </w:r>
          </w:p>
        </w:tc>
      </w:tr>
      <w:tr w:rsidR="00D07705" w14:paraId="7A9DA734" w14:textId="77777777" w:rsidTr="00100744">
        <w:tc>
          <w:tcPr>
            <w:tcW w:w="613" w:type="dxa"/>
          </w:tcPr>
          <w:p w14:paraId="2945A694" w14:textId="1EA8E661" w:rsidR="00D07705" w:rsidRDefault="00FA10EE" w:rsidP="00100744">
            <w:r>
              <w:t>A</w:t>
            </w:r>
            <w:r w:rsidR="00000F90">
              <w:t>9</w:t>
            </w:r>
          </w:p>
        </w:tc>
        <w:tc>
          <w:tcPr>
            <w:tcW w:w="4561" w:type="dxa"/>
          </w:tcPr>
          <w:p w14:paraId="701431A3" w14:textId="732ADB44" w:rsidR="00D07705" w:rsidRDefault="00FA10EE" w:rsidP="00100744">
            <w:r>
              <w:t>Newborn babies with Anencephaly, although they may live for a number of</w:t>
            </w:r>
            <w:r w:rsidR="00737308">
              <w:t xml:space="preserve"> </w:t>
            </w:r>
            <w:r>
              <w:t xml:space="preserve">days, are assumed to gain the full lifetime QALY if </w:t>
            </w:r>
            <w:r w:rsidR="00737308">
              <w:t xml:space="preserve">the NTD is prevented (and </w:t>
            </w:r>
            <w:r w:rsidR="00137F31">
              <w:t xml:space="preserve">correspondingly, </w:t>
            </w:r>
            <w:r w:rsidR="00737308">
              <w:t>their current QALY utility is set to zero)</w:t>
            </w:r>
            <w:r w:rsidR="00137F31">
              <w:t>.</w:t>
            </w:r>
          </w:p>
        </w:tc>
        <w:tc>
          <w:tcPr>
            <w:tcW w:w="4562" w:type="dxa"/>
          </w:tcPr>
          <w:p w14:paraId="51C12B0E" w14:textId="7F5BE8C3" w:rsidR="00D07705" w:rsidRDefault="00C74C9D" w:rsidP="00100744">
            <w:r>
              <w:t>D</w:t>
            </w:r>
            <w:r w:rsidR="008505E2">
              <w:t>ue to the devastating impacts on the quality of life</w:t>
            </w:r>
            <w:r w:rsidR="00AE6FDE">
              <w:t xml:space="preserve"> we set the life expectancy of newborn babies with Anencephaly to zero.</w:t>
            </w:r>
            <w:r w:rsidR="008C070A">
              <w:t xml:space="preserve"> This also eases calculations.</w:t>
            </w:r>
          </w:p>
        </w:tc>
      </w:tr>
      <w:tr w:rsidR="00000F90" w14:paraId="1425A7C2" w14:textId="77777777" w:rsidTr="00100744">
        <w:tc>
          <w:tcPr>
            <w:tcW w:w="613" w:type="dxa"/>
          </w:tcPr>
          <w:p w14:paraId="6F44DDF6" w14:textId="4B075BE9" w:rsidR="00000F90" w:rsidRDefault="00000F90" w:rsidP="00000F90">
            <w:r>
              <w:t>A10</w:t>
            </w:r>
          </w:p>
        </w:tc>
        <w:tc>
          <w:tcPr>
            <w:tcW w:w="4561" w:type="dxa"/>
          </w:tcPr>
          <w:p w14:paraId="400406E0" w14:textId="3A26BE70" w:rsidR="00000F90" w:rsidRDefault="00000F90" w:rsidP="00000F90">
            <w:r>
              <w:t>Women who give birth in the first year of the policy benefit from the full impact of folic acid fortification and have the same folate levels as those that give birth in the later years of the appraisal period.</w:t>
            </w:r>
          </w:p>
        </w:tc>
        <w:tc>
          <w:tcPr>
            <w:tcW w:w="4562" w:type="dxa"/>
          </w:tcPr>
          <w:p w14:paraId="7588976A" w14:textId="7B64ADFE" w:rsidR="00000F90" w:rsidRDefault="00000F90" w:rsidP="00000F90">
            <w:r>
              <w:t>Ease of calculation, but may lead to overestimate in first cohort</w:t>
            </w:r>
          </w:p>
        </w:tc>
      </w:tr>
      <w:tr w:rsidR="00D07705" w14:paraId="1020683A" w14:textId="77777777" w:rsidTr="00100744">
        <w:tc>
          <w:tcPr>
            <w:tcW w:w="613" w:type="dxa"/>
          </w:tcPr>
          <w:p w14:paraId="281964AB" w14:textId="16673EF1" w:rsidR="00D07705" w:rsidRDefault="00F72135" w:rsidP="00100744">
            <w:r>
              <w:t>A11</w:t>
            </w:r>
          </w:p>
        </w:tc>
        <w:tc>
          <w:tcPr>
            <w:tcW w:w="4561" w:type="dxa"/>
          </w:tcPr>
          <w:p w14:paraId="7137B8AE" w14:textId="035A6D4D" w:rsidR="00D07705" w:rsidRDefault="003B7292" w:rsidP="00100744">
            <w:r>
              <w:t xml:space="preserve">A reduced number of </w:t>
            </w:r>
            <w:r w:rsidR="00F72135" w:rsidRPr="00F72135">
              <w:t>NTD-related terminations, miscarriages, and stillbirths and</w:t>
            </w:r>
            <w:r>
              <w:t xml:space="preserve"> </w:t>
            </w:r>
            <w:r w:rsidR="00F72135" w:rsidRPr="00F72135">
              <w:t>lead to reductions in NHS costs.</w:t>
            </w:r>
          </w:p>
        </w:tc>
        <w:tc>
          <w:tcPr>
            <w:tcW w:w="4562" w:type="dxa"/>
          </w:tcPr>
          <w:p w14:paraId="01B4CCC6" w14:textId="77777777" w:rsidR="00D07705" w:rsidRDefault="00D07705" w:rsidP="00100744"/>
        </w:tc>
      </w:tr>
      <w:tr w:rsidR="00D07705" w14:paraId="7BB9C39C" w14:textId="77777777" w:rsidTr="00100744">
        <w:tc>
          <w:tcPr>
            <w:tcW w:w="613" w:type="dxa"/>
          </w:tcPr>
          <w:p w14:paraId="072A01AC" w14:textId="75677B19" w:rsidR="00D07705" w:rsidRDefault="00604899" w:rsidP="00100744">
            <w:r>
              <w:t>A12</w:t>
            </w:r>
          </w:p>
        </w:tc>
        <w:tc>
          <w:tcPr>
            <w:tcW w:w="4561" w:type="dxa"/>
          </w:tcPr>
          <w:p w14:paraId="718EDB74" w14:textId="194A1C76" w:rsidR="00D07705" w:rsidRDefault="00604899" w:rsidP="00100744">
            <w:r>
              <w:t xml:space="preserve">The prevalence </w:t>
            </w:r>
            <w:r w:rsidRPr="0087052A">
              <w:t xml:space="preserve">of early NTD-related </w:t>
            </w:r>
            <w:r w:rsidRPr="0087052A">
              <w:rPr>
                <w:rFonts w:cstheme="minorHAnsi"/>
              </w:rPr>
              <w:t>miscarriages (at &lt;20 weeks gestation) in Scotland is approximated by the prevalence of early</w:t>
            </w:r>
            <w:r w:rsidRPr="0087052A">
              <w:t xml:space="preserve"> NTD-related miscarriages for Wales.</w:t>
            </w:r>
          </w:p>
        </w:tc>
        <w:tc>
          <w:tcPr>
            <w:tcW w:w="4562" w:type="dxa"/>
          </w:tcPr>
          <w:p w14:paraId="1085E548" w14:textId="75B1E0F1" w:rsidR="00D07705" w:rsidRDefault="00604899" w:rsidP="00100744">
            <w:r>
              <w:t>The Welsh CARIS dataset register</w:t>
            </w:r>
            <w:r w:rsidR="00100BBF">
              <w:t>s</w:t>
            </w:r>
            <w:r>
              <w:t xml:space="preserve"> miscarriages prior to 20 weeks where there are known registerable conditions</w:t>
            </w:r>
            <w:r w:rsidRPr="00C24BA6">
              <w:rPr>
                <w:rFonts w:cstheme="minorHAnsi"/>
              </w:rPr>
              <w:t>.</w:t>
            </w:r>
            <w:r w:rsidR="00100BBF">
              <w:rPr>
                <w:rFonts w:cstheme="minorHAnsi"/>
              </w:rPr>
              <w:t xml:space="preserve"> While this </w:t>
            </w:r>
            <w:r w:rsidR="00F513B2">
              <w:rPr>
                <w:rFonts w:cstheme="minorHAnsi"/>
              </w:rPr>
              <w:t>is still likely to underestimate the true number of</w:t>
            </w:r>
            <w:r w:rsidR="00941F47">
              <w:rPr>
                <w:rFonts w:cstheme="minorHAnsi"/>
              </w:rPr>
              <w:t xml:space="preserve"> early</w:t>
            </w:r>
            <w:r w:rsidR="00F513B2">
              <w:rPr>
                <w:rFonts w:cstheme="minorHAnsi"/>
              </w:rPr>
              <w:t xml:space="preserve"> NTD-related miscarriages</w:t>
            </w:r>
            <w:r w:rsidR="00941F47" w:rsidRPr="00C24BA6">
              <w:rPr>
                <w:rStyle w:val="FootnoteReference"/>
                <w:rFonts w:asciiTheme="minorHAnsi" w:hAnsiTheme="minorHAnsi" w:cstheme="minorHAnsi"/>
                <w:sz w:val="24"/>
              </w:rPr>
              <w:footnoteReference w:id="8"/>
            </w:r>
            <w:r w:rsidR="00F513B2">
              <w:rPr>
                <w:rFonts w:cstheme="minorHAnsi"/>
              </w:rPr>
              <w:t xml:space="preserve">, </w:t>
            </w:r>
            <w:r w:rsidR="00941F47">
              <w:rPr>
                <w:rFonts w:cstheme="minorHAnsi"/>
              </w:rPr>
              <w:t>it is the best data available at the time of writing.</w:t>
            </w:r>
          </w:p>
        </w:tc>
      </w:tr>
      <w:tr w:rsidR="00D14AC0" w14:paraId="77CB453C" w14:textId="77777777" w:rsidTr="00100744">
        <w:tc>
          <w:tcPr>
            <w:tcW w:w="613" w:type="dxa"/>
          </w:tcPr>
          <w:p w14:paraId="6F458471" w14:textId="4206FD67" w:rsidR="00D14AC0" w:rsidRDefault="00D14AC0" w:rsidP="00100744">
            <w:r>
              <w:t>A13</w:t>
            </w:r>
          </w:p>
        </w:tc>
        <w:tc>
          <w:tcPr>
            <w:tcW w:w="4561" w:type="dxa"/>
          </w:tcPr>
          <w:p w14:paraId="58F6CC53" w14:textId="799AC6B3" w:rsidR="00D14AC0" w:rsidRDefault="000F7C28" w:rsidP="00100744">
            <w:r>
              <w:t>The average cost of an early miscarriage in</w:t>
            </w:r>
            <w:r w:rsidR="00D14AC0" w:rsidRPr="00D14AC0">
              <w:t xml:space="preserve"> Petrou et al (2006)</w:t>
            </w:r>
            <w:r>
              <w:t xml:space="preserve"> is representative of costs in Scotland</w:t>
            </w:r>
            <w:r w:rsidR="00D14AC0" w:rsidRPr="00D14AC0">
              <w:t>.</w:t>
            </w:r>
          </w:p>
        </w:tc>
        <w:tc>
          <w:tcPr>
            <w:tcW w:w="4562" w:type="dxa"/>
          </w:tcPr>
          <w:p w14:paraId="0F096DF0" w14:textId="70D8F40F" w:rsidR="00D14AC0" w:rsidRDefault="000F7C28" w:rsidP="00100744">
            <w:r>
              <w:t xml:space="preserve">Although the costs are </w:t>
            </w:r>
            <w:r w:rsidR="00FE713C">
              <w:t xml:space="preserve">estimated using English data, the estimates are comprehensive and include costs associated with </w:t>
            </w:r>
            <w:r w:rsidRPr="00D14AC0">
              <w:t>hospital care, medication, medical products, community health, social services, and work absences</w:t>
            </w:r>
            <w:r w:rsidR="00FE713C">
              <w:t>.</w:t>
            </w:r>
          </w:p>
        </w:tc>
      </w:tr>
      <w:tr w:rsidR="00D14AC0" w14:paraId="59E22FD0" w14:textId="77777777" w:rsidTr="00100744">
        <w:tc>
          <w:tcPr>
            <w:tcW w:w="613" w:type="dxa"/>
          </w:tcPr>
          <w:p w14:paraId="65B9378E" w14:textId="55BC0535" w:rsidR="00D14AC0" w:rsidRDefault="00720FCD" w:rsidP="00100744">
            <w:r>
              <w:t>A14</w:t>
            </w:r>
          </w:p>
        </w:tc>
        <w:tc>
          <w:tcPr>
            <w:tcW w:w="4561" w:type="dxa"/>
          </w:tcPr>
          <w:p w14:paraId="7AF7D66B" w14:textId="5B4CCCB3" w:rsidR="00720FCD" w:rsidRDefault="00720FCD" w:rsidP="00720FCD">
            <w:r>
              <w:t>Costs (to the NHS) of both a late miscarriage (20-23 weeks) and a stillbirth (&gt; 23 weeks) are the same as the estimated cost of an early miscarriage.</w:t>
            </w:r>
          </w:p>
          <w:p w14:paraId="0D9534DB" w14:textId="77777777" w:rsidR="00D14AC0" w:rsidRDefault="00D14AC0" w:rsidP="00100744"/>
        </w:tc>
        <w:tc>
          <w:tcPr>
            <w:tcW w:w="4562" w:type="dxa"/>
          </w:tcPr>
          <w:p w14:paraId="3019691C" w14:textId="38040894" w:rsidR="00D14AC0" w:rsidRDefault="00720FCD" w:rsidP="00100744">
            <w:r>
              <w:t xml:space="preserve">This is the same assumption used in the DHSC impact assessment. We recognise that late miscarriages are </w:t>
            </w:r>
            <w:r w:rsidR="001605B4">
              <w:t xml:space="preserve">clinically </w:t>
            </w:r>
            <w:r>
              <w:t>more similar to stillbirths, and so may have more in common in terms of costs with stillbirths than early miscarriages.</w:t>
            </w:r>
          </w:p>
        </w:tc>
      </w:tr>
      <w:tr w:rsidR="00D14AC0" w14:paraId="385550CA" w14:textId="77777777" w:rsidTr="00100744">
        <w:tc>
          <w:tcPr>
            <w:tcW w:w="613" w:type="dxa"/>
          </w:tcPr>
          <w:p w14:paraId="284EEEE3" w14:textId="691F0982" w:rsidR="00D14AC0" w:rsidRDefault="00CD233B" w:rsidP="00100744">
            <w:r>
              <w:t>A15</w:t>
            </w:r>
          </w:p>
        </w:tc>
        <w:tc>
          <w:tcPr>
            <w:tcW w:w="4561" w:type="dxa"/>
          </w:tcPr>
          <w:p w14:paraId="772F39DA" w14:textId="2E2D1766" w:rsidR="00D14AC0" w:rsidRDefault="00CD233B" w:rsidP="00100744">
            <w:r>
              <w:t>The counterfactual NHS healthcare cost for a healthy newborn is £0.</w:t>
            </w:r>
          </w:p>
        </w:tc>
        <w:tc>
          <w:tcPr>
            <w:tcW w:w="4562" w:type="dxa"/>
          </w:tcPr>
          <w:p w14:paraId="69CB53A8" w14:textId="2D006C7A" w:rsidR="00D14AC0" w:rsidRDefault="00753B97" w:rsidP="00100744">
            <w:r>
              <w:t>In estimating the reduced healthcare costs stemming from a reduced number of NTD-related miscarriages and stillbirths, we assume</w:t>
            </w:r>
            <w:r w:rsidR="005258A6">
              <w:t xml:space="preserve"> a healthy newborn has an associated healthcare cost of £0. In reality, this is of course not accurate, since there are (usually) healthcare costs associated to live births as well. This also</w:t>
            </w:r>
            <w:r w:rsidR="002B79A9">
              <w:t xml:space="preserve"> disregards the potential other healthcare costs associated </w:t>
            </w:r>
            <w:r w:rsidR="001A6744">
              <w:t>throughout the newborn’s childhood and beyond due to the large degree of uncertainty</w:t>
            </w:r>
            <w:r w:rsidR="0009100B">
              <w:t>.</w:t>
            </w:r>
          </w:p>
        </w:tc>
      </w:tr>
      <w:tr w:rsidR="00D14AC0" w14:paraId="3A805428" w14:textId="77777777" w:rsidTr="00100744">
        <w:tc>
          <w:tcPr>
            <w:tcW w:w="613" w:type="dxa"/>
          </w:tcPr>
          <w:p w14:paraId="5163D100" w14:textId="6C5D054E" w:rsidR="00D14AC0" w:rsidRDefault="00407EF4" w:rsidP="00100744">
            <w:r>
              <w:t>A16</w:t>
            </w:r>
          </w:p>
        </w:tc>
        <w:tc>
          <w:tcPr>
            <w:tcW w:w="4561" w:type="dxa"/>
          </w:tcPr>
          <w:p w14:paraId="7D55D91E" w14:textId="7EBE6BDB" w:rsidR="00D14AC0" w:rsidRDefault="00407EF4" w:rsidP="00100744">
            <w:r>
              <w:t xml:space="preserve">The </w:t>
            </w:r>
            <w:r w:rsidR="00FF022C">
              <w:t>NHS healthcare costs associated with surgical and medical terminations in England are representative for the NHS healthcare costs in Scotland.</w:t>
            </w:r>
          </w:p>
        </w:tc>
        <w:tc>
          <w:tcPr>
            <w:tcW w:w="4562" w:type="dxa"/>
          </w:tcPr>
          <w:p w14:paraId="61775838" w14:textId="45B9B28E" w:rsidR="00D14AC0" w:rsidRDefault="00175A78" w:rsidP="00100744">
            <w:r>
              <w:t xml:space="preserve">Due to the lack of </w:t>
            </w:r>
            <w:r w:rsidR="00BD0967">
              <w:t xml:space="preserve">Scottish cost estimates, </w:t>
            </w:r>
            <w:r>
              <w:t>English cost estimates were used (and in line with the DHSC impact assessment).</w:t>
            </w:r>
          </w:p>
        </w:tc>
      </w:tr>
      <w:tr w:rsidR="00D14AC0" w14:paraId="1B5CF3CC" w14:textId="77777777" w:rsidTr="00100744">
        <w:tc>
          <w:tcPr>
            <w:tcW w:w="613" w:type="dxa"/>
          </w:tcPr>
          <w:p w14:paraId="177A5672" w14:textId="6A3BE98F" w:rsidR="00D14AC0" w:rsidRDefault="00BD0967" w:rsidP="00100744">
            <w:r>
              <w:t>A17</w:t>
            </w:r>
          </w:p>
        </w:tc>
        <w:tc>
          <w:tcPr>
            <w:tcW w:w="4561" w:type="dxa"/>
          </w:tcPr>
          <w:p w14:paraId="4B5302D8" w14:textId="5641BDD0" w:rsidR="00D14AC0" w:rsidRDefault="00BD0967" w:rsidP="00711000">
            <w:r>
              <w:t>The split between medical and surgical terminations</w:t>
            </w:r>
            <w:r w:rsidR="00711000">
              <w:t xml:space="preserve"> for total terminations in Scotland in 2021</w:t>
            </w:r>
            <w:r>
              <w:t xml:space="preserve"> </w:t>
            </w:r>
            <w:r w:rsidR="00711000">
              <w:t>is the s</w:t>
            </w:r>
            <w:r w:rsidRPr="00FF4877">
              <w:rPr>
                <w:rFonts w:cstheme="minorHAnsi"/>
              </w:rPr>
              <w:t xml:space="preserve">ame </w:t>
            </w:r>
            <w:r w:rsidR="00711000">
              <w:rPr>
                <w:rFonts w:cstheme="minorHAnsi"/>
              </w:rPr>
              <w:t>split as those for</w:t>
            </w:r>
            <w:r w:rsidRPr="00FF4877">
              <w:rPr>
                <w:rFonts w:cstheme="minorHAnsi"/>
              </w:rPr>
              <w:t xml:space="preserve"> NTD-related terminations.</w:t>
            </w:r>
          </w:p>
        </w:tc>
        <w:tc>
          <w:tcPr>
            <w:tcW w:w="4562" w:type="dxa"/>
          </w:tcPr>
          <w:p w14:paraId="2C86C235" w14:textId="373F77F1" w:rsidR="00BD0967" w:rsidRPr="006A7A00" w:rsidRDefault="00BD0967" w:rsidP="00BD0967">
            <w:pPr>
              <w:rPr>
                <w:rFonts w:cstheme="minorHAnsi"/>
              </w:rPr>
            </w:pPr>
            <w:r>
              <w:t xml:space="preserve">Data from Public Health Scotland. Note that this differs from </w:t>
            </w:r>
            <w:r w:rsidR="00711000">
              <w:t xml:space="preserve">the </w:t>
            </w:r>
            <w:r>
              <w:t>DHSC impact assessment for England, who use statistics for England &amp; Wales – where the proportion of medical terminations was 87% in 2021.</w:t>
            </w:r>
          </w:p>
          <w:p w14:paraId="4AA0F17C" w14:textId="48D52B8B" w:rsidR="00D14AC0" w:rsidRDefault="00D14AC0" w:rsidP="00100744"/>
        </w:tc>
      </w:tr>
      <w:tr w:rsidR="00CA187B" w14:paraId="0452B23F" w14:textId="77777777" w:rsidTr="00100744">
        <w:tc>
          <w:tcPr>
            <w:tcW w:w="613" w:type="dxa"/>
          </w:tcPr>
          <w:p w14:paraId="17AAE4EE" w14:textId="7F63F26A" w:rsidR="00CA187B" w:rsidRDefault="00CA187B" w:rsidP="00100744">
            <w:r>
              <w:t>A18</w:t>
            </w:r>
          </w:p>
        </w:tc>
        <w:tc>
          <w:tcPr>
            <w:tcW w:w="4561" w:type="dxa"/>
          </w:tcPr>
          <w:p w14:paraId="3857BD80" w14:textId="0C3E27FA" w:rsidR="00CA187B" w:rsidRDefault="00CA187B" w:rsidP="00CA187B">
            <w:r>
              <w:t xml:space="preserve">The </w:t>
            </w:r>
            <w:r w:rsidR="000051AF">
              <w:t xml:space="preserve">central </w:t>
            </w:r>
            <w:r>
              <w:t xml:space="preserve">employment rate for </w:t>
            </w:r>
            <w:r w:rsidR="00301AD7">
              <w:t>people with NTDs</w:t>
            </w:r>
            <w:r w:rsidR="00655B21">
              <w:t xml:space="preserve"> is 40%, slightly below the employment rate for </w:t>
            </w:r>
            <w:r>
              <w:t xml:space="preserve">disabled people aged 16 to 64 in Scotland </w:t>
            </w:r>
            <w:r w:rsidR="00655B21">
              <w:t>(</w:t>
            </w:r>
            <w:r>
              <w:t>49.6% in 2021</w:t>
            </w:r>
            <w:r w:rsidR="00655B21">
              <w:t>).</w:t>
            </w:r>
          </w:p>
          <w:p w14:paraId="121D468C" w14:textId="77777777" w:rsidR="00CA187B" w:rsidRDefault="00CA187B" w:rsidP="00711000"/>
        </w:tc>
        <w:tc>
          <w:tcPr>
            <w:tcW w:w="4562" w:type="dxa"/>
          </w:tcPr>
          <w:p w14:paraId="0828124C" w14:textId="3ABFFDCB" w:rsidR="00CA187B" w:rsidRPr="0087052A" w:rsidRDefault="00655B21" w:rsidP="00BD0967">
            <w:r w:rsidRPr="0087052A">
              <w:t>This brings it more in line with the literature on labour force participation among people with NTDs.</w:t>
            </w:r>
            <w:r w:rsidR="0087052A" w:rsidRPr="0087052A">
              <w:t xml:space="preserve"> Given the range of estimates in the literature, we also introduce a 30% and 50% employment rate for our high and low estimate, respectivel</w:t>
            </w:r>
            <w:r w:rsidR="0087052A" w:rsidRPr="0087052A">
              <w:rPr>
                <w:rFonts w:cstheme="minorHAnsi"/>
              </w:rPr>
              <w:t>y.</w:t>
            </w:r>
          </w:p>
        </w:tc>
      </w:tr>
      <w:tr w:rsidR="000051AF" w14:paraId="7B00DC8A" w14:textId="77777777" w:rsidTr="00100744">
        <w:tc>
          <w:tcPr>
            <w:tcW w:w="613" w:type="dxa"/>
          </w:tcPr>
          <w:p w14:paraId="124012FA" w14:textId="0042FA6F" w:rsidR="000051AF" w:rsidRDefault="00066349" w:rsidP="000051AF">
            <w:r>
              <w:t>A19</w:t>
            </w:r>
          </w:p>
        </w:tc>
        <w:tc>
          <w:tcPr>
            <w:tcW w:w="4561" w:type="dxa"/>
          </w:tcPr>
          <w:p w14:paraId="3F24CB99" w14:textId="105B3474" w:rsidR="000051AF" w:rsidRDefault="005339F3" w:rsidP="000051AF">
            <w:r>
              <w:t>All employed</w:t>
            </w:r>
            <w:r w:rsidR="00290159">
              <w:t xml:space="preserve"> people (</w:t>
            </w:r>
            <w:r w:rsidR="009502C4">
              <w:t>with NTDs or not</w:t>
            </w:r>
            <w:r w:rsidR="00290159">
              <w:t>)</w:t>
            </w:r>
            <w:r w:rsidR="009502C4">
              <w:t xml:space="preserve"> work full-time jobs (taken to mean </w:t>
            </w:r>
            <w:r w:rsidR="009502C4" w:rsidRPr="00CC6560">
              <w:t xml:space="preserve">a </w:t>
            </w:r>
            <w:r w:rsidR="009502C4" w:rsidRPr="00CC6560">
              <w:rPr>
                <w:rFonts w:cstheme="minorHAnsi"/>
              </w:rPr>
              <w:t>52 week year, 36.375 hour working week</w:t>
            </w:r>
            <w:r w:rsidR="009502C4" w:rsidRPr="00CC6560">
              <w:rPr>
                <w:rStyle w:val="FootnoteReference"/>
                <w:rFonts w:asciiTheme="minorHAnsi" w:hAnsiTheme="minorHAnsi" w:cstheme="minorHAnsi"/>
                <w:sz w:val="24"/>
              </w:rPr>
              <w:footnoteReference w:id="9"/>
            </w:r>
            <w:r w:rsidR="009502C4" w:rsidRPr="00CC6560">
              <w:rPr>
                <w:rFonts w:cstheme="minorHAnsi"/>
              </w:rPr>
              <w:t>, and a working age between 15-64)</w:t>
            </w:r>
            <w:r w:rsidR="00066349" w:rsidRPr="00CC6560">
              <w:rPr>
                <w:rFonts w:cstheme="minorHAnsi"/>
              </w:rPr>
              <w:t>.</w:t>
            </w:r>
          </w:p>
        </w:tc>
        <w:tc>
          <w:tcPr>
            <w:tcW w:w="4562" w:type="dxa"/>
          </w:tcPr>
          <w:p w14:paraId="01A39111" w14:textId="25CEA9E6" w:rsidR="000051AF" w:rsidRDefault="00066349" w:rsidP="000051AF">
            <w:r>
              <w:t>The 36.375 working week is taken from 2023 ONS labour data (for all full time employees)</w:t>
            </w:r>
            <w:r w:rsidR="005339F3">
              <w:t>.</w:t>
            </w:r>
            <w:r w:rsidR="00B951AC">
              <w:t xml:space="preserve"> </w:t>
            </w:r>
            <w:r w:rsidR="005339F3">
              <w:t>The week and working age assumptions are taken as given</w:t>
            </w:r>
            <w:r w:rsidR="00B951AC">
              <w:t xml:space="preserve">. Note that in reality, </w:t>
            </w:r>
            <w:r w:rsidR="00623946">
              <w:t xml:space="preserve">actual hours worked may differ based on a variety of factors, incl. disability and age. </w:t>
            </w:r>
            <w:r w:rsidR="002F5E06">
              <w:t xml:space="preserve">If people with NTDs are e.g. more commonly employed part time or working reduced hours, then </w:t>
            </w:r>
            <w:r w:rsidR="00A35DCD">
              <w:t>the actual earnings gained will have been underestimated.</w:t>
            </w:r>
          </w:p>
        </w:tc>
      </w:tr>
      <w:tr w:rsidR="00CA187B" w14:paraId="1EEC3F82" w14:textId="77777777" w:rsidTr="00100744">
        <w:tc>
          <w:tcPr>
            <w:tcW w:w="613" w:type="dxa"/>
          </w:tcPr>
          <w:p w14:paraId="2F3CD0A1" w14:textId="5E85ED6B" w:rsidR="00CA187B" w:rsidRDefault="006C3284" w:rsidP="00100744">
            <w:r>
              <w:t>A20</w:t>
            </w:r>
          </w:p>
        </w:tc>
        <w:tc>
          <w:tcPr>
            <w:tcW w:w="4561" w:type="dxa"/>
          </w:tcPr>
          <w:p w14:paraId="4B1C780B" w14:textId="2FECEA59" w:rsidR="00CA187B" w:rsidRDefault="006C3284" w:rsidP="00F0452B">
            <w:r>
              <w:t xml:space="preserve">The </w:t>
            </w:r>
            <w:r w:rsidR="00023224">
              <w:t>lower</w:t>
            </w:r>
            <w:r>
              <w:t xml:space="preserve"> labour participation rates by parents of Spina Bifida patients </w:t>
            </w:r>
            <w:r w:rsidR="002E6522">
              <w:t xml:space="preserve">shown in </w:t>
            </w:r>
            <w:hyperlink r:id="rId13" w:history="1">
              <w:r w:rsidRPr="00A55A3F">
                <w:rPr>
                  <w:rStyle w:val="Hyperlink"/>
                  <w:rFonts w:cstheme="minorBidi"/>
                  <w:color w:val="0070C0"/>
                </w:rPr>
                <w:t>Yi et al (2011)</w:t>
              </w:r>
            </w:hyperlink>
            <w:r>
              <w:t xml:space="preserve"> </w:t>
            </w:r>
            <w:r w:rsidR="00F0452B">
              <w:t xml:space="preserve">(more specifically, the midpoint of a 24% reduction) </w:t>
            </w:r>
            <w:r>
              <w:t>are assumed to hold</w:t>
            </w:r>
            <w:r w:rsidR="00023224">
              <w:t xml:space="preserve"> for parents of patients with Encephalocele as </w:t>
            </w:r>
            <w:r w:rsidR="00023224" w:rsidRPr="00F0452B">
              <w:t xml:space="preserve">well. </w:t>
            </w:r>
            <w:r w:rsidRPr="00F0452B">
              <w:t>We also assume that the Yi et al study translates to Scotland, and that all individuals with a would-be NTD come from a two parent (or two carer) household</w:t>
            </w:r>
            <w:r w:rsidR="00F0452B" w:rsidRPr="00F0452B">
              <w:t>.</w:t>
            </w:r>
          </w:p>
        </w:tc>
        <w:tc>
          <w:tcPr>
            <w:tcW w:w="4562" w:type="dxa"/>
          </w:tcPr>
          <w:p w14:paraId="1E3629BF" w14:textId="593C5C5C" w:rsidR="00CA187B" w:rsidRDefault="00F0452B" w:rsidP="00BD0967">
            <w:r>
              <w:t>There is a limited amount of data on reduced labour force participation of the</w:t>
            </w:r>
            <w:r w:rsidR="00DF4838">
              <w:t xml:space="preserve"> parents of </w:t>
            </w:r>
            <w:r>
              <w:t>NTD</w:t>
            </w:r>
            <w:r w:rsidR="00DF4838">
              <w:t xml:space="preserve"> </w:t>
            </w:r>
            <w:r>
              <w:t>parents</w:t>
            </w:r>
            <w:r w:rsidR="00DF4838">
              <w:t xml:space="preserve">, and the literature review by Yi et al </w:t>
            </w:r>
            <w:r w:rsidR="002E6522">
              <w:t xml:space="preserve">is a comprehensive overview of a number of studies. </w:t>
            </w:r>
            <w:r w:rsidR="005C039F">
              <w:t xml:space="preserve">We recognise that this labour force participation reduction may be highly dependent on e.g. health and social care </w:t>
            </w:r>
          </w:p>
        </w:tc>
      </w:tr>
      <w:tr w:rsidR="00CA187B" w14:paraId="0AE57C1A" w14:textId="77777777" w:rsidTr="00100744">
        <w:tc>
          <w:tcPr>
            <w:tcW w:w="613" w:type="dxa"/>
          </w:tcPr>
          <w:p w14:paraId="2FDDA4EA" w14:textId="41A15AF9" w:rsidR="00CA187B" w:rsidRDefault="001E58FB" w:rsidP="00100744">
            <w:r>
              <w:t>A21</w:t>
            </w:r>
          </w:p>
        </w:tc>
        <w:tc>
          <w:tcPr>
            <w:tcW w:w="4561" w:type="dxa"/>
          </w:tcPr>
          <w:p w14:paraId="650C60CC" w14:textId="77B1B031" w:rsidR="00CA187B" w:rsidRDefault="00560684" w:rsidP="00711000">
            <w:r>
              <w:t xml:space="preserve">The average labour participation rate and wage of adults aged 18-49 in the UK is not affected </w:t>
            </w:r>
            <w:r w:rsidR="004E0E9E">
              <w:t xml:space="preserve">to a significant degree </w:t>
            </w:r>
            <w:r>
              <w:t>by parents of NTD patients, and if a proportion of NTDs are</w:t>
            </w:r>
            <w:r w:rsidR="004E0E9E">
              <w:t xml:space="preserve"> prevented</w:t>
            </w:r>
            <w:r>
              <w:t xml:space="preserve">, parents of these </w:t>
            </w:r>
            <w:r w:rsidR="00565672">
              <w:t>individuals will revert to this national average labour participation rate and wage.</w:t>
            </w:r>
            <w:r w:rsidR="001E58FB">
              <w:t xml:space="preserve"> </w:t>
            </w:r>
          </w:p>
        </w:tc>
        <w:tc>
          <w:tcPr>
            <w:tcW w:w="4562" w:type="dxa"/>
          </w:tcPr>
          <w:p w14:paraId="26EA705E" w14:textId="6237E6E0" w:rsidR="00CA187B" w:rsidRDefault="00E46B14" w:rsidP="00BD0967">
            <w:r>
              <w:t>This was primarily assumed due to the lack of data on wages for parents of NTD patients. NTDs pres</w:t>
            </w:r>
            <w:r w:rsidR="000248A1">
              <w:t xml:space="preserve">ent a relatively small </w:t>
            </w:r>
            <w:r w:rsidR="00C25B7D">
              <w:t>proportion</w:t>
            </w:r>
            <w:r w:rsidR="000248A1">
              <w:t xml:space="preserve"> of </w:t>
            </w:r>
            <w:r w:rsidR="00C24BFD">
              <w:t xml:space="preserve">total live births in the UK so this is </w:t>
            </w:r>
            <w:r w:rsidR="005B5FCC">
              <w:t xml:space="preserve">likely </w:t>
            </w:r>
            <w:r w:rsidR="00C24BFD">
              <w:t xml:space="preserve">not far off the true </w:t>
            </w:r>
            <w:r w:rsidR="005B5FCC">
              <w:t>figure</w:t>
            </w:r>
            <w:r w:rsidR="004C24B3">
              <w:t>.</w:t>
            </w:r>
          </w:p>
        </w:tc>
      </w:tr>
      <w:tr w:rsidR="001E6C7E" w14:paraId="188C7821" w14:textId="77777777" w:rsidTr="00100744">
        <w:tc>
          <w:tcPr>
            <w:tcW w:w="613" w:type="dxa"/>
          </w:tcPr>
          <w:p w14:paraId="201C2E23" w14:textId="7939DD7E" w:rsidR="001E6C7E" w:rsidRDefault="001E6C7E" w:rsidP="00100744">
            <w:r>
              <w:t>A22</w:t>
            </w:r>
          </w:p>
        </w:tc>
        <w:tc>
          <w:tcPr>
            <w:tcW w:w="4561" w:type="dxa"/>
          </w:tcPr>
          <w:p w14:paraId="7422A9C3" w14:textId="2E873FD4" w:rsidR="001E6C7E" w:rsidRDefault="001E6C7E" w:rsidP="00711000">
            <w:r>
              <w:t>The reduction in labour force participation rate among parents of</w:t>
            </w:r>
            <w:r w:rsidR="00D72E97">
              <w:t xml:space="preserve"> children with NTDs is only present until the child is 18 years old. After that, they revert to the national average labour force participation rate.</w:t>
            </w:r>
          </w:p>
        </w:tc>
        <w:tc>
          <w:tcPr>
            <w:tcW w:w="4562" w:type="dxa"/>
          </w:tcPr>
          <w:p w14:paraId="70D78EC1" w14:textId="3ED0DA51" w:rsidR="001E6C7E" w:rsidRDefault="009D778D" w:rsidP="00BD0967">
            <w:r>
              <w:t xml:space="preserve">In reality, this may vary depending on the </w:t>
            </w:r>
            <w:r w:rsidR="00FB71C8">
              <w:t>person</w:t>
            </w:r>
            <w:r>
              <w:t xml:space="preserve"> and the </w:t>
            </w:r>
            <w:r w:rsidR="00AB22E5">
              <w:t>amount of health, social, or carer support needed as the child grows up.</w:t>
            </w:r>
            <w:r w:rsidR="005D1F17">
              <w:t xml:space="preserve"> </w:t>
            </w:r>
            <w:r w:rsidR="00FB71C8">
              <w:t>A</w:t>
            </w:r>
            <w:r w:rsidR="005D1F17">
              <w:t xml:space="preserve"> proportion of parents will likely still have a reduced labour force participation </w:t>
            </w:r>
            <w:r w:rsidR="00BC413B">
              <w:t xml:space="preserve">rate </w:t>
            </w:r>
            <w:r w:rsidR="005D1F17">
              <w:t>even after the child turns 18</w:t>
            </w:r>
            <w:r w:rsidR="00BC413B">
              <w:t>.</w:t>
            </w:r>
          </w:p>
        </w:tc>
      </w:tr>
    </w:tbl>
    <w:p w14:paraId="4E9E1218" w14:textId="77777777" w:rsidR="00492345" w:rsidRDefault="00492345" w:rsidP="00492345"/>
    <w:p w14:paraId="2129039A" w14:textId="77777777" w:rsidR="00492345" w:rsidRDefault="00492345" w:rsidP="00492345">
      <w:r>
        <w:t>The primary health benefit that will accrue due to the policy is the reduction in risk and cases of NTD-affected pregnancies as a result of the higher blood folate level in women who could become pregnant.</w:t>
      </w:r>
    </w:p>
    <w:p w14:paraId="3D7BFF77" w14:textId="77777777" w:rsidR="00492345" w:rsidRDefault="00492345" w:rsidP="00492345"/>
    <w:p w14:paraId="59044DDF" w14:textId="76573556" w:rsidR="00492345" w:rsidRDefault="00492345" w:rsidP="00492345">
      <w:r>
        <w:t xml:space="preserve">Modelling conducted by FSS in 2017 (see </w:t>
      </w:r>
      <w:hyperlink r:id="rId14" w:history="1">
        <w:r w:rsidRPr="00A535F2">
          <w:rPr>
            <w:rStyle w:val="Hyperlink"/>
            <w:i/>
            <w:iCs/>
            <w:color w:val="0070C0"/>
          </w:rPr>
          <w:t>Stochastic modelling to estimate the potential impact of fortification of flour with folic acid in the UK</w:t>
        </w:r>
        <w:r w:rsidRPr="00A535F2">
          <w:rPr>
            <w:rStyle w:val="Hyperlink"/>
            <w:color w:val="0070C0"/>
          </w:rPr>
          <w:t>, Food Standards Scotland</w:t>
        </w:r>
      </w:hyperlink>
      <w:r>
        <w:t>) estimated the decrease in risk of the three main types of NTD (Spina Bifida, Anencephaly, and Encephalocele) for given levels of fortification.</w:t>
      </w:r>
    </w:p>
    <w:p w14:paraId="152C5575" w14:textId="77777777" w:rsidR="00492345" w:rsidRDefault="00492345" w:rsidP="00492345"/>
    <w:p w14:paraId="60D71D21" w14:textId="148F4C74" w:rsidR="00492345" w:rsidRDefault="00492345" w:rsidP="00492345">
      <w:r w:rsidRPr="00544BF9">
        <w:t>DHSC deemed ‘Model C’ from this paper to be most applicable to this scenario. This model accounts for variations in folate status across the population, and assumes that 30% of women already</w:t>
      </w:r>
      <w:r>
        <w:t xml:space="preserve"> take the recommended daily 400μg folic acid supplement</w:t>
      </w:r>
      <w:r w:rsidR="008022ED">
        <w:t xml:space="preserve"> (A4)</w:t>
      </w:r>
      <w:r>
        <w:t xml:space="preserve">. This model had two variations, based </w:t>
      </w:r>
      <w:r w:rsidRPr="00544BF9">
        <w:t xml:space="preserve">on different prediction equations from literature. For the purpose of assessing the impact of flour fortification, DHSC is using an average of the two variations (19% risk reduction) as their central estimate, and a </w:t>
      </w:r>
      <w:r w:rsidRPr="00544BF9">
        <w:rPr>
          <w:rFonts w:cstheme="minorHAnsi"/>
        </w:rPr>
        <w:t>±</w:t>
      </w:r>
      <w:r w:rsidRPr="00544BF9">
        <w:t>20% low and high estimate based on the Daly and Crider model variation, respectively</w:t>
      </w:r>
      <w:r w:rsidR="008022ED" w:rsidRPr="00544BF9">
        <w:t xml:space="preserve"> (A</w:t>
      </w:r>
      <w:r w:rsidR="00D0304E" w:rsidRPr="00544BF9">
        <w:t>5)</w:t>
      </w:r>
      <w:r w:rsidRPr="00544BF9">
        <w:t>.</w:t>
      </w:r>
    </w:p>
    <w:p w14:paraId="0ED172C9" w14:textId="77777777" w:rsidR="00F97003" w:rsidRDefault="00F97003" w:rsidP="00492345"/>
    <w:p w14:paraId="25FC705F" w14:textId="4222BED9" w:rsidR="005F5B01" w:rsidRPr="00A535F2" w:rsidRDefault="005F5B01" w:rsidP="00F97003">
      <w:pPr>
        <w:pStyle w:val="Caption"/>
        <w:keepNext/>
        <w:rPr>
          <w:color w:val="auto"/>
        </w:rPr>
      </w:pPr>
      <w:r w:rsidRPr="00A535F2">
        <w:rPr>
          <w:color w:val="auto"/>
        </w:rPr>
        <w:t xml:space="preserve">Table </w:t>
      </w:r>
      <w:r w:rsidRPr="00A535F2">
        <w:rPr>
          <w:color w:val="auto"/>
        </w:rPr>
        <w:fldChar w:fldCharType="begin"/>
      </w:r>
      <w:r w:rsidRPr="00A535F2">
        <w:rPr>
          <w:color w:val="auto"/>
        </w:rPr>
        <w:instrText xml:space="preserve"> SEQ Table \* ARABIC </w:instrText>
      </w:r>
      <w:r w:rsidRPr="00A535F2">
        <w:rPr>
          <w:color w:val="auto"/>
        </w:rPr>
        <w:fldChar w:fldCharType="separate"/>
      </w:r>
      <w:r w:rsidR="000E33D5" w:rsidRPr="00A535F2">
        <w:rPr>
          <w:noProof/>
          <w:color w:val="auto"/>
        </w:rPr>
        <w:t>9</w:t>
      </w:r>
      <w:r w:rsidRPr="00A535F2">
        <w:rPr>
          <w:color w:val="auto"/>
        </w:rPr>
        <w:fldChar w:fldCharType="end"/>
      </w:r>
      <w:r w:rsidRPr="00A535F2">
        <w:rPr>
          <w:color w:val="auto"/>
        </w:rPr>
        <w:t>. Assumed effect of fortification of all NWWF and reduction in NTD risk</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948"/>
        <w:gridCol w:w="1780"/>
        <w:gridCol w:w="1782"/>
        <w:gridCol w:w="1579"/>
        <w:gridCol w:w="2657"/>
      </w:tblGrid>
      <w:tr w:rsidR="00492345" w14:paraId="70F42D02" w14:textId="77777777" w:rsidTr="2837DE85">
        <w:tc>
          <w:tcPr>
            <w:tcW w:w="999" w:type="pct"/>
            <w:tcBorders>
              <w:top w:val="single" w:sz="4" w:space="0" w:color="auto"/>
              <w:bottom w:val="nil"/>
            </w:tcBorders>
          </w:tcPr>
          <w:p w14:paraId="767E84E8" w14:textId="77777777" w:rsidR="00492345" w:rsidRPr="002A2E67" w:rsidRDefault="00492345" w:rsidP="00100744">
            <w:pPr>
              <w:rPr>
                <w:b/>
                <w:bCs/>
              </w:rPr>
            </w:pPr>
            <w:r w:rsidRPr="002A2E67">
              <w:rPr>
                <w:b/>
                <w:bCs/>
              </w:rPr>
              <w:t>Fortification</w:t>
            </w:r>
          </w:p>
        </w:tc>
        <w:tc>
          <w:tcPr>
            <w:tcW w:w="1827" w:type="pct"/>
            <w:gridSpan w:val="2"/>
            <w:tcBorders>
              <w:top w:val="single" w:sz="4" w:space="0" w:color="auto"/>
              <w:bottom w:val="nil"/>
            </w:tcBorders>
          </w:tcPr>
          <w:p w14:paraId="6EBDA35A" w14:textId="77777777" w:rsidR="00492345" w:rsidRDefault="00492345" w:rsidP="00100744">
            <w:r>
              <w:rPr>
                <w:b/>
                <w:bCs/>
              </w:rPr>
              <w:t>Estimated r</w:t>
            </w:r>
            <w:r w:rsidRPr="002A2E67">
              <w:rPr>
                <w:b/>
                <w:bCs/>
              </w:rPr>
              <w:t>eduction</w:t>
            </w:r>
            <w:r>
              <w:rPr>
                <w:b/>
                <w:bCs/>
              </w:rPr>
              <w:t xml:space="preserve"> in risk of developing NTD</w:t>
            </w:r>
          </w:p>
        </w:tc>
        <w:tc>
          <w:tcPr>
            <w:tcW w:w="2173" w:type="pct"/>
            <w:gridSpan w:val="2"/>
            <w:tcBorders>
              <w:top w:val="single" w:sz="4" w:space="0" w:color="auto"/>
              <w:bottom w:val="nil"/>
            </w:tcBorders>
          </w:tcPr>
          <w:p w14:paraId="7C30A343" w14:textId="77777777" w:rsidR="00492345" w:rsidRPr="00A93481" w:rsidRDefault="00492345" w:rsidP="00100744">
            <w:pPr>
              <w:rPr>
                <w:b/>
                <w:bCs/>
              </w:rPr>
            </w:pPr>
            <w:r w:rsidRPr="00A93481">
              <w:rPr>
                <w:b/>
                <w:bCs/>
              </w:rPr>
              <w:t>Our assumed risk reduction</w:t>
            </w:r>
          </w:p>
        </w:tc>
      </w:tr>
      <w:tr w:rsidR="00492345" w14:paraId="339241E5" w14:textId="77777777" w:rsidTr="2837DE85">
        <w:tc>
          <w:tcPr>
            <w:tcW w:w="999" w:type="pct"/>
            <w:tcBorders>
              <w:top w:val="nil"/>
              <w:bottom w:val="single" w:sz="4" w:space="0" w:color="auto"/>
            </w:tcBorders>
          </w:tcPr>
          <w:p w14:paraId="626FA6AD" w14:textId="77777777" w:rsidR="00492345" w:rsidRPr="00955853" w:rsidRDefault="00492345" w:rsidP="00100744">
            <w:pPr>
              <w:rPr>
                <w:sz w:val="20"/>
                <w:szCs w:val="20"/>
              </w:rPr>
            </w:pPr>
            <w:r w:rsidRPr="00955853">
              <w:rPr>
                <w:sz w:val="20"/>
                <w:szCs w:val="20"/>
              </w:rPr>
              <w:t>μg / 100g</w:t>
            </w:r>
          </w:p>
        </w:tc>
        <w:tc>
          <w:tcPr>
            <w:tcW w:w="913" w:type="pct"/>
            <w:tcBorders>
              <w:top w:val="nil"/>
              <w:bottom w:val="single" w:sz="4" w:space="0" w:color="auto"/>
            </w:tcBorders>
          </w:tcPr>
          <w:p w14:paraId="705A2BE9" w14:textId="77777777" w:rsidR="00492345" w:rsidRPr="00955853" w:rsidRDefault="00492345" w:rsidP="00100744">
            <w:pPr>
              <w:rPr>
                <w:sz w:val="20"/>
                <w:szCs w:val="20"/>
              </w:rPr>
            </w:pPr>
            <w:r w:rsidRPr="00955853">
              <w:rPr>
                <w:sz w:val="20"/>
                <w:szCs w:val="20"/>
              </w:rPr>
              <w:t>Daly (%)</w:t>
            </w:r>
          </w:p>
        </w:tc>
        <w:tc>
          <w:tcPr>
            <w:tcW w:w="914" w:type="pct"/>
            <w:tcBorders>
              <w:top w:val="nil"/>
              <w:bottom w:val="single" w:sz="4" w:space="0" w:color="auto"/>
            </w:tcBorders>
          </w:tcPr>
          <w:p w14:paraId="4E538D85" w14:textId="77777777" w:rsidR="00492345" w:rsidRPr="00955853" w:rsidRDefault="00492345" w:rsidP="00100744">
            <w:pPr>
              <w:rPr>
                <w:sz w:val="20"/>
                <w:szCs w:val="20"/>
              </w:rPr>
            </w:pPr>
            <w:r w:rsidRPr="00955853">
              <w:rPr>
                <w:sz w:val="20"/>
                <w:szCs w:val="20"/>
              </w:rPr>
              <w:t>Crider (%)</w:t>
            </w:r>
          </w:p>
        </w:tc>
        <w:tc>
          <w:tcPr>
            <w:tcW w:w="2173" w:type="pct"/>
            <w:gridSpan w:val="2"/>
            <w:tcBorders>
              <w:top w:val="nil"/>
              <w:bottom w:val="single" w:sz="4" w:space="0" w:color="auto"/>
            </w:tcBorders>
          </w:tcPr>
          <w:p w14:paraId="7668F52A" w14:textId="77777777" w:rsidR="00492345" w:rsidRPr="00955853" w:rsidRDefault="00492345" w:rsidP="00100744">
            <w:pPr>
              <w:rPr>
                <w:sz w:val="20"/>
                <w:szCs w:val="20"/>
              </w:rPr>
            </w:pPr>
            <w:r>
              <w:rPr>
                <w:sz w:val="20"/>
                <w:szCs w:val="20"/>
              </w:rPr>
              <w:t>%</w:t>
            </w:r>
          </w:p>
        </w:tc>
      </w:tr>
      <w:tr w:rsidR="00492345" w14:paraId="092F79B3" w14:textId="77777777" w:rsidTr="2837DE85">
        <w:tc>
          <w:tcPr>
            <w:tcW w:w="999" w:type="pct"/>
            <w:tcBorders>
              <w:top w:val="single" w:sz="4" w:space="0" w:color="auto"/>
            </w:tcBorders>
          </w:tcPr>
          <w:p w14:paraId="0CF6CEED" w14:textId="77777777" w:rsidR="00492345" w:rsidRDefault="00492345" w:rsidP="00100744">
            <w:r>
              <w:t>250</w:t>
            </w:r>
          </w:p>
        </w:tc>
        <w:tc>
          <w:tcPr>
            <w:tcW w:w="913" w:type="pct"/>
            <w:tcBorders>
              <w:top w:val="single" w:sz="4" w:space="0" w:color="auto"/>
            </w:tcBorders>
          </w:tcPr>
          <w:p w14:paraId="736D20AD" w14:textId="77777777" w:rsidR="00492345" w:rsidRDefault="00492345" w:rsidP="00100744">
            <w:r>
              <w:t>15.4</w:t>
            </w:r>
          </w:p>
        </w:tc>
        <w:tc>
          <w:tcPr>
            <w:tcW w:w="914" w:type="pct"/>
            <w:tcBorders>
              <w:top w:val="single" w:sz="4" w:space="0" w:color="auto"/>
            </w:tcBorders>
          </w:tcPr>
          <w:p w14:paraId="3C8B9119" w14:textId="77777777" w:rsidR="00492345" w:rsidRDefault="00492345" w:rsidP="00100744">
            <w:r>
              <w:t>22.4</w:t>
            </w:r>
          </w:p>
        </w:tc>
        <w:tc>
          <w:tcPr>
            <w:tcW w:w="810" w:type="pct"/>
            <w:tcBorders>
              <w:top w:val="single" w:sz="4" w:space="0" w:color="auto"/>
            </w:tcBorders>
          </w:tcPr>
          <w:p w14:paraId="514A367C" w14:textId="77777777" w:rsidR="00492345" w:rsidRPr="00845333" w:rsidRDefault="00492345" w:rsidP="00100744">
            <w:r w:rsidRPr="00845333">
              <w:t>Low</w:t>
            </w:r>
          </w:p>
        </w:tc>
        <w:tc>
          <w:tcPr>
            <w:tcW w:w="1363" w:type="pct"/>
            <w:tcBorders>
              <w:top w:val="single" w:sz="4" w:space="0" w:color="auto"/>
            </w:tcBorders>
            <w:vAlign w:val="center"/>
          </w:tcPr>
          <w:p w14:paraId="27191B0D" w14:textId="77777777" w:rsidR="00492345" w:rsidRPr="002F34CD" w:rsidRDefault="00492345" w:rsidP="00100744">
            <w:pPr>
              <w:jc w:val="right"/>
              <w:rPr>
                <w:rFonts w:cstheme="minorHAnsi"/>
              </w:rPr>
            </w:pPr>
            <m:oMath>
              <m:r>
                <w:rPr>
                  <w:rFonts w:ascii="Cambria Math" w:hAnsi="Cambria Math" w:cstheme="minorHAnsi"/>
                </w:rPr>
                <m:t>0.8 * 15.4=12.3</m:t>
              </m:r>
            </m:oMath>
            <w:r w:rsidRPr="002F34CD">
              <w:rPr>
                <w:rFonts w:cstheme="minorHAnsi"/>
              </w:rPr>
              <w:t xml:space="preserve"> </w:t>
            </w:r>
          </w:p>
        </w:tc>
      </w:tr>
      <w:tr w:rsidR="00492345" w14:paraId="045743B3" w14:textId="77777777" w:rsidTr="2837DE85">
        <w:tc>
          <w:tcPr>
            <w:tcW w:w="999" w:type="pct"/>
          </w:tcPr>
          <w:p w14:paraId="7D5C6F70" w14:textId="77777777" w:rsidR="00492345" w:rsidRDefault="00492345" w:rsidP="00100744">
            <w:r>
              <w:t>250</w:t>
            </w:r>
          </w:p>
        </w:tc>
        <w:tc>
          <w:tcPr>
            <w:tcW w:w="913" w:type="pct"/>
          </w:tcPr>
          <w:p w14:paraId="5E2C0A5B" w14:textId="77777777" w:rsidR="00492345" w:rsidRDefault="00492345" w:rsidP="00100744">
            <w:r>
              <w:t>15.4</w:t>
            </w:r>
          </w:p>
        </w:tc>
        <w:tc>
          <w:tcPr>
            <w:tcW w:w="914" w:type="pct"/>
          </w:tcPr>
          <w:p w14:paraId="5A9629D6" w14:textId="77777777" w:rsidR="00492345" w:rsidRDefault="00492345" w:rsidP="00100744">
            <w:r>
              <w:t>22.4</w:t>
            </w:r>
          </w:p>
        </w:tc>
        <w:tc>
          <w:tcPr>
            <w:tcW w:w="810" w:type="pct"/>
          </w:tcPr>
          <w:p w14:paraId="4DCFDC58" w14:textId="77777777" w:rsidR="00492345" w:rsidRPr="00845333" w:rsidRDefault="00492345" w:rsidP="00100744">
            <w:r w:rsidRPr="00845333">
              <w:t>Medium</w:t>
            </w:r>
          </w:p>
        </w:tc>
        <w:tc>
          <w:tcPr>
            <w:tcW w:w="1363" w:type="pct"/>
            <w:vAlign w:val="center"/>
          </w:tcPr>
          <w:p w14:paraId="3A45017F" w14:textId="77777777" w:rsidR="00492345" w:rsidRPr="00511730" w:rsidRDefault="00000000" w:rsidP="00100744">
            <w:pPr>
              <w:jc w:val="right"/>
              <w:rPr>
                <w:rFonts w:cstheme="minorHAnsi"/>
              </w:rPr>
            </w:pPr>
            <m:oMathPara>
              <m:oMathParaPr>
                <m:jc m:val="right"/>
              </m:oMathParaPr>
              <m:oMath>
                <m:f>
                  <m:fPr>
                    <m:type m:val="lin"/>
                    <m:ctrlPr>
                      <w:rPr>
                        <w:rFonts w:ascii="Cambria Math" w:hAnsi="Cambria Math" w:cstheme="minorHAnsi"/>
                        <w:i/>
                      </w:rPr>
                    </m:ctrlPr>
                  </m:fPr>
                  <m:num>
                    <m:d>
                      <m:dPr>
                        <m:ctrlPr>
                          <w:rPr>
                            <w:rFonts w:ascii="Cambria Math" w:hAnsi="Cambria Math" w:cstheme="minorHAnsi"/>
                            <w:i/>
                          </w:rPr>
                        </m:ctrlPr>
                      </m:dPr>
                      <m:e>
                        <m:r>
                          <w:rPr>
                            <w:rFonts w:ascii="Cambria Math" w:hAnsi="Cambria Math" w:cstheme="minorHAnsi"/>
                          </w:rPr>
                          <m:t>15.4+22.4</m:t>
                        </m:r>
                      </m:e>
                    </m:d>
                  </m:num>
                  <m:den>
                    <m:r>
                      <w:rPr>
                        <w:rFonts w:ascii="Cambria Math" w:hAnsi="Cambria Math" w:cstheme="minorHAnsi"/>
                      </w:rPr>
                      <m:t>2</m:t>
                    </m:r>
                  </m:den>
                </m:f>
                <m:r>
                  <w:rPr>
                    <w:rFonts w:ascii="Cambria Math" w:hAnsi="Cambria Math" w:cstheme="minorHAnsi"/>
                  </w:rPr>
                  <m:t>=18.9</m:t>
                </m:r>
              </m:oMath>
            </m:oMathPara>
          </w:p>
        </w:tc>
      </w:tr>
      <w:tr w:rsidR="00492345" w14:paraId="35809864" w14:textId="77777777" w:rsidTr="2837DE85">
        <w:tc>
          <w:tcPr>
            <w:tcW w:w="999" w:type="pct"/>
          </w:tcPr>
          <w:p w14:paraId="22CCE659" w14:textId="77777777" w:rsidR="00492345" w:rsidRDefault="00492345" w:rsidP="00100744">
            <w:r>
              <w:t>250</w:t>
            </w:r>
          </w:p>
        </w:tc>
        <w:tc>
          <w:tcPr>
            <w:tcW w:w="913" w:type="pct"/>
          </w:tcPr>
          <w:p w14:paraId="29ADA047" w14:textId="77777777" w:rsidR="00492345" w:rsidRDefault="00492345" w:rsidP="00100744">
            <w:r>
              <w:t>15.4</w:t>
            </w:r>
          </w:p>
        </w:tc>
        <w:tc>
          <w:tcPr>
            <w:tcW w:w="914" w:type="pct"/>
          </w:tcPr>
          <w:p w14:paraId="04EA8343" w14:textId="77777777" w:rsidR="00492345" w:rsidRDefault="00492345" w:rsidP="00100744">
            <w:r>
              <w:t>22.4</w:t>
            </w:r>
          </w:p>
        </w:tc>
        <w:tc>
          <w:tcPr>
            <w:tcW w:w="810" w:type="pct"/>
          </w:tcPr>
          <w:p w14:paraId="33BA4F0C" w14:textId="77777777" w:rsidR="00492345" w:rsidRPr="00845333" w:rsidRDefault="00492345" w:rsidP="00100744">
            <w:r w:rsidRPr="00845333">
              <w:t>High</w:t>
            </w:r>
          </w:p>
        </w:tc>
        <w:tc>
          <w:tcPr>
            <w:tcW w:w="1363" w:type="pct"/>
            <w:vAlign w:val="center"/>
          </w:tcPr>
          <w:p w14:paraId="0D77518F" w14:textId="77777777" w:rsidR="00492345" w:rsidRPr="00511730" w:rsidRDefault="00492345" w:rsidP="2837DE85">
            <w:pPr>
              <w:jc w:val="right"/>
            </w:pPr>
            <m:oMathPara>
              <m:oMath>
                <m:r>
                  <w:rPr>
                    <w:rFonts w:ascii="Cambria Math" w:hAnsi="Cambria Math" w:cstheme="minorHAnsi"/>
                  </w:rPr>
                  <m:t>1.2*22.4=26.9</m:t>
                </m:r>
              </m:oMath>
            </m:oMathPara>
          </w:p>
        </w:tc>
      </w:tr>
    </w:tbl>
    <w:p w14:paraId="21630C12" w14:textId="77777777" w:rsidR="00492345" w:rsidRPr="0046303D" w:rsidRDefault="00492345" w:rsidP="00492345">
      <w:pPr>
        <w:jc w:val="right"/>
        <w:rPr>
          <w:sz w:val="20"/>
          <w:szCs w:val="20"/>
        </w:rPr>
      </w:pPr>
      <w:r w:rsidRPr="0046303D">
        <w:rPr>
          <w:sz w:val="20"/>
          <w:szCs w:val="20"/>
        </w:rPr>
        <w:t>Assumes 30% of women planning to become pregnant also take 400μg folic acid supplement</w:t>
      </w:r>
      <w:r>
        <w:rPr>
          <w:sz w:val="20"/>
          <w:szCs w:val="20"/>
        </w:rPr>
        <w:t>.</w:t>
      </w:r>
      <w:r>
        <w:rPr>
          <w:sz w:val="20"/>
          <w:szCs w:val="20"/>
        </w:rPr>
        <w:br/>
      </w:r>
      <w:r w:rsidRPr="0046303D">
        <w:rPr>
          <w:sz w:val="20"/>
          <w:szCs w:val="20"/>
        </w:rPr>
        <w:t>Source: FSS, 2017; DHSC calculations.</w:t>
      </w:r>
    </w:p>
    <w:p w14:paraId="6FD2DCE9" w14:textId="77777777" w:rsidR="00492345" w:rsidRDefault="00492345" w:rsidP="00492345"/>
    <w:p w14:paraId="0771D6B3" w14:textId="77777777" w:rsidR="00492345" w:rsidRDefault="00492345" w:rsidP="00492345">
      <w:r>
        <w:t>If a foetus develops an NTD, there are three possible outcomes:</w:t>
      </w:r>
    </w:p>
    <w:p w14:paraId="354654D7" w14:textId="77777777" w:rsidR="00492345" w:rsidRDefault="00492345" w:rsidP="00492345"/>
    <w:p w14:paraId="66317E57" w14:textId="1ECEF5B6" w:rsidR="00492345" w:rsidRDefault="00B512E5" w:rsidP="00CC205C">
      <w:pPr>
        <w:pStyle w:val="ListParagraph"/>
        <w:numPr>
          <w:ilvl w:val="0"/>
          <w:numId w:val="16"/>
        </w:numPr>
      </w:pPr>
      <w:r>
        <w:t>The p</w:t>
      </w:r>
      <w:r w:rsidR="00492345">
        <w:t xml:space="preserve">regnancy goes to term and the baby is born with an </w:t>
      </w:r>
      <w:r w:rsidR="00C0566A">
        <w:t>NTD.</w:t>
      </w:r>
    </w:p>
    <w:p w14:paraId="13C8BF54" w14:textId="1251850D" w:rsidR="00492345" w:rsidRDefault="00B512E5" w:rsidP="00CC205C">
      <w:pPr>
        <w:pStyle w:val="ListParagraph"/>
        <w:numPr>
          <w:ilvl w:val="0"/>
          <w:numId w:val="16"/>
        </w:numPr>
      </w:pPr>
      <w:r>
        <w:t xml:space="preserve">The pregnancy is </w:t>
      </w:r>
      <w:r w:rsidR="00C0566A">
        <w:t>terminated.</w:t>
      </w:r>
    </w:p>
    <w:p w14:paraId="1760A653" w14:textId="3FD52803" w:rsidR="00492345" w:rsidRDefault="00492345" w:rsidP="00CC205C">
      <w:pPr>
        <w:pStyle w:val="ListParagraph"/>
        <w:numPr>
          <w:ilvl w:val="0"/>
          <w:numId w:val="16"/>
        </w:numPr>
      </w:pPr>
      <w:r>
        <w:t xml:space="preserve">The mother has a miscarriage or </w:t>
      </w:r>
      <w:r w:rsidR="00C0566A">
        <w:t>stillbirth.</w:t>
      </w:r>
    </w:p>
    <w:p w14:paraId="71D98974" w14:textId="77777777" w:rsidR="00492345" w:rsidRDefault="00492345" w:rsidP="00492345"/>
    <w:p w14:paraId="417B1609" w14:textId="3C1A9670" w:rsidR="00492345" w:rsidRDefault="00492345" w:rsidP="00492345">
      <w:r w:rsidRPr="008167D8">
        <w:t xml:space="preserve">For the purpose of this analysis, we only consider the </w:t>
      </w:r>
      <w:r w:rsidRPr="008167D8">
        <w:rPr>
          <w:i/>
          <w:iCs/>
        </w:rPr>
        <w:t>health benefits</w:t>
      </w:r>
      <w:r w:rsidRPr="008167D8">
        <w:t xml:space="preserve"> associated with a reduced number of NTD live births. Benefits associated with a reduced number of miscarriages, stillbirths, and terminations are only modelled through the reduced healthcare costs. This is done primarily for the sake of simplicity and keeping the analysis tractable; establishing a ‘boundary’ for the analysis. It is likely that a number of would-be terminations, miscarriages, or stillbirths are prevented as a result of folic acid fortification and these pregnancies could then lead to an additional live birth.</w:t>
      </w:r>
      <w:r>
        <w:t xml:space="preserve"> Similarly, prevented NTD live births would also lead to reduced health and social care costs</w:t>
      </w:r>
      <w:r w:rsidR="00BC49F3">
        <w:t xml:space="preserve"> (as opposed to </w:t>
      </w:r>
      <w:r w:rsidR="00231B36">
        <w:t xml:space="preserve">only </w:t>
      </w:r>
      <w:r w:rsidR="008C62DE">
        <w:t>increases in the quality of life and increased earnings) which are not estimated in this analysis</w:t>
      </w:r>
      <w:r w:rsidR="00E75102">
        <w:t>.</w:t>
      </w:r>
    </w:p>
    <w:p w14:paraId="2A092A84" w14:textId="77777777" w:rsidR="00492345" w:rsidRDefault="00492345" w:rsidP="00492345"/>
    <w:p w14:paraId="7E917F4D" w14:textId="41C3E684" w:rsidR="00492345" w:rsidRPr="00A55A3F" w:rsidRDefault="60A8E8B3" w:rsidP="005D011F">
      <w:pPr>
        <w:pStyle w:val="Heading3"/>
        <w:rPr>
          <w:b w:val="0"/>
          <w:bCs w:val="0"/>
          <w:u w:val="single"/>
        </w:rPr>
      </w:pPr>
      <w:r w:rsidRPr="00A55A3F">
        <w:rPr>
          <w:b w:val="0"/>
          <w:bCs w:val="0"/>
          <w:u w:val="single"/>
        </w:rPr>
        <w:t xml:space="preserve">Health benefits of reducing the number of NTD </w:t>
      </w:r>
      <w:r w:rsidR="5FF747DF" w:rsidRPr="00A55A3F">
        <w:rPr>
          <w:b w:val="0"/>
          <w:bCs w:val="0"/>
          <w:u w:val="single"/>
        </w:rPr>
        <w:t xml:space="preserve">live birth </w:t>
      </w:r>
      <w:r w:rsidRPr="00A55A3F">
        <w:rPr>
          <w:b w:val="0"/>
          <w:bCs w:val="0"/>
          <w:u w:val="single"/>
        </w:rPr>
        <w:t>cases</w:t>
      </w:r>
    </w:p>
    <w:p w14:paraId="21CFFC3D" w14:textId="22F9A569" w:rsidR="00492345" w:rsidRDefault="00492345" w:rsidP="00492345">
      <w:r>
        <w:t xml:space="preserve">Data from </w:t>
      </w:r>
      <w:r w:rsidR="008A7A4A">
        <w:t>Public Health Scotland</w:t>
      </w:r>
      <w:r>
        <w:t xml:space="preserve"> shows that there was an average of </w:t>
      </w:r>
      <w:r w:rsidR="00C02169">
        <w:t xml:space="preserve">16.6 </w:t>
      </w:r>
      <w:r>
        <w:t>NTD live births year in Scotland between 2016</w:t>
      </w:r>
      <w:r w:rsidR="00C02169">
        <w:t>-20</w:t>
      </w:r>
      <w:r>
        <w:t xml:space="preserve">. Using the central risk reduction estimate of 18.9%, we anticipate </w:t>
      </w:r>
      <w:r w:rsidR="005D1B63">
        <w:t>3</w:t>
      </w:r>
      <w:r w:rsidR="003C2622">
        <w:t>.14</w:t>
      </w:r>
      <w:r w:rsidR="005D1B63">
        <w:t xml:space="preserve"> </w:t>
      </w:r>
      <w:r>
        <w:t>prevented NTD cases per year.</w:t>
      </w:r>
    </w:p>
    <w:p w14:paraId="430C6642" w14:textId="7152DC21" w:rsidR="00492345" w:rsidRPr="0058378E" w:rsidRDefault="00492345" w:rsidP="00492345">
      <w:pPr>
        <w:rPr>
          <w:color w:val="276944" w:themeColor="accent2"/>
        </w:rPr>
      </w:pPr>
    </w:p>
    <w:p w14:paraId="23A75792" w14:textId="60AAA63A" w:rsidR="000C31CF" w:rsidRPr="00A535F2" w:rsidRDefault="000C31CF" w:rsidP="000C31CF">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10</w:t>
      </w:r>
      <w:r w:rsidR="00000F90" w:rsidRPr="00A535F2">
        <w:rPr>
          <w:noProof/>
          <w:color w:val="auto"/>
        </w:rPr>
        <w:fldChar w:fldCharType="end"/>
      </w:r>
      <w:r w:rsidRPr="00A535F2">
        <w:rPr>
          <w:color w:val="auto"/>
        </w:rPr>
        <w:t xml:space="preserve">. NTD live births in Scotland, 2016-20 average, and estimated prevented </w:t>
      </w:r>
      <w:r w:rsidR="00C0566A" w:rsidRPr="00A535F2">
        <w:rPr>
          <w:color w:val="auto"/>
        </w:rPr>
        <w:t>cases.</w:t>
      </w:r>
    </w:p>
    <w:tbl>
      <w:tblPr>
        <w:tblStyle w:val="TableGrid"/>
        <w:tblW w:w="0" w:type="auto"/>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694"/>
        <w:gridCol w:w="3521"/>
        <w:gridCol w:w="3521"/>
      </w:tblGrid>
      <w:tr w:rsidR="00492345" w14:paraId="4F65ADB0" w14:textId="77777777" w:rsidTr="00100744">
        <w:tc>
          <w:tcPr>
            <w:tcW w:w="2694" w:type="dxa"/>
            <w:tcBorders>
              <w:top w:val="single" w:sz="4" w:space="0" w:color="auto"/>
              <w:bottom w:val="single" w:sz="4" w:space="0" w:color="auto"/>
            </w:tcBorders>
          </w:tcPr>
          <w:p w14:paraId="4DBBD15C" w14:textId="77777777" w:rsidR="00492345" w:rsidRPr="00904320" w:rsidRDefault="00492345" w:rsidP="00100744">
            <w:pPr>
              <w:rPr>
                <w:b/>
                <w:bCs/>
              </w:rPr>
            </w:pPr>
            <w:r w:rsidRPr="00904320">
              <w:rPr>
                <w:b/>
                <w:bCs/>
              </w:rPr>
              <w:t>NTD</w:t>
            </w:r>
          </w:p>
        </w:tc>
        <w:tc>
          <w:tcPr>
            <w:tcW w:w="3521" w:type="dxa"/>
            <w:tcBorders>
              <w:top w:val="single" w:sz="4" w:space="0" w:color="auto"/>
              <w:bottom w:val="single" w:sz="4" w:space="0" w:color="auto"/>
              <w:right w:val="nil"/>
            </w:tcBorders>
          </w:tcPr>
          <w:p w14:paraId="395B9907" w14:textId="77777777" w:rsidR="00492345" w:rsidRPr="00904320" w:rsidRDefault="00492345" w:rsidP="00100744">
            <w:pPr>
              <w:rPr>
                <w:b/>
                <w:bCs/>
              </w:rPr>
            </w:pPr>
            <w:r w:rsidRPr="00904320">
              <w:rPr>
                <w:b/>
                <w:bCs/>
              </w:rPr>
              <w:t>Annual cases, Scotland</w:t>
            </w:r>
            <w:r>
              <w:rPr>
                <w:b/>
                <w:bCs/>
              </w:rPr>
              <w:br/>
            </w:r>
            <w:r w:rsidRPr="00B34D84">
              <w:t>2016-20 average</w:t>
            </w:r>
          </w:p>
        </w:tc>
        <w:tc>
          <w:tcPr>
            <w:tcW w:w="3521" w:type="dxa"/>
            <w:tcBorders>
              <w:top w:val="single" w:sz="4" w:space="0" w:color="auto"/>
              <w:left w:val="nil"/>
              <w:bottom w:val="single" w:sz="4" w:space="0" w:color="auto"/>
            </w:tcBorders>
          </w:tcPr>
          <w:p w14:paraId="0A0A7CE2" w14:textId="77777777" w:rsidR="00492345" w:rsidRPr="00904320" w:rsidRDefault="00492345" w:rsidP="00100744">
            <w:pPr>
              <w:rPr>
                <w:b/>
                <w:bCs/>
              </w:rPr>
            </w:pPr>
            <w:r w:rsidRPr="00904320">
              <w:rPr>
                <w:b/>
                <w:bCs/>
              </w:rPr>
              <w:t xml:space="preserve">Estimated cases prevented </w:t>
            </w:r>
            <w:r>
              <w:t>Assuming</w:t>
            </w:r>
            <w:r w:rsidRPr="00B34D84">
              <w:t xml:space="preserve"> 250μg / 100g</w:t>
            </w:r>
          </w:p>
        </w:tc>
      </w:tr>
      <w:tr w:rsidR="00492345" w14:paraId="424560DC" w14:textId="77777777" w:rsidTr="00100744">
        <w:tc>
          <w:tcPr>
            <w:tcW w:w="2694" w:type="dxa"/>
            <w:tcBorders>
              <w:top w:val="single" w:sz="4" w:space="0" w:color="auto"/>
            </w:tcBorders>
          </w:tcPr>
          <w:p w14:paraId="0AC50CA3" w14:textId="77777777" w:rsidR="00492345" w:rsidRDefault="00492345" w:rsidP="00100744">
            <w:r>
              <w:t>Spina Bifida</w:t>
            </w:r>
          </w:p>
        </w:tc>
        <w:tc>
          <w:tcPr>
            <w:tcW w:w="3521" w:type="dxa"/>
            <w:tcBorders>
              <w:top w:val="single" w:sz="4" w:space="0" w:color="auto"/>
              <w:right w:val="nil"/>
            </w:tcBorders>
          </w:tcPr>
          <w:p w14:paraId="44827892" w14:textId="323E49B5" w:rsidR="00492345" w:rsidRDefault="007B2063" w:rsidP="00100744">
            <w:r>
              <w:t>12.2</w:t>
            </w:r>
          </w:p>
        </w:tc>
        <w:tc>
          <w:tcPr>
            <w:tcW w:w="3521" w:type="dxa"/>
            <w:tcBorders>
              <w:top w:val="single" w:sz="4" w:space="0" w:color="auto"/>
              <w:left w:val="nil"/>
            </w:tcBorders>
          </w:tcPr>
          <w:p w14:paraId="5C584B16" w14:textId="40AFEA5E" w:rsidR="00492345" w:rsidRDefault="0034623C" w:rsidP="00100744">
            <w:r>
              <w:t>2.3</w:t>
            </w:r>
            <w:r w:rsidR="00C66B3C">
              <w:t>1</w:t>
            </w:r>
          </w:p>
        </w:tc>
      </w:tr>
      <w:tr w:rsidR="00492345" w14:paraId="4460BD09" w14:textId="77777777" w:rsidTr="00100744">
        <w:tc>
          <w:tcPr>
            <w:tcW w:w="2694" w:type="dxa"/>
            <w:tcBorders>
              <w:bottom w:val="nil"/>
            </w:tcBorders>
          </w:tcPr>
          <w:p w14:paraId="7AA1B7E7" w14:textId="77777777" w:rsidR="00492345" w:rsidRDefault="00492345" w:rsidP="00100744">
            <w:r>
              <w:t>Anencephaly</w:t>
            </w:r>
          </w:p>
        </w:tc>
        <w:tc>
          <w:tcPr>
            <w:tcW w:w="3521" w:type="dxa"/>
            <w:tcBorders>
              <w:bottom w:val="nil"/>
              <w:right w:val="nil"/>
            </w:tcBorders>
          </w:tcPr>
          <w:p w14:paraId="29190CE9" w14:textId="401E410F" w:rsidR="00492345" w:rsidRDefault="005F1E8B" w:rsidP="00100744">
            <w:r>
              <w:t>1.0</w:t>
            </w:r>
          </w:p>
        </w:tc>
        <w:tc>
          <w:tcPr>
            <w:tcW w:w="3521" w:type="dxa"/>
            <w:tcBorders>
              <w:left w:val="nil"/>
              <w:bottom w:val="nil"/>
            </w:tcBorders>
          </w:tcPr>
          <w:p w14:paraId="41110104" w14:textId="5450575E" w:rsidR="00492345" w:rsidRDefault="0034623C" w:rsidP="00100744">
            <w:r>
              <w:t>0.</w:t>
            </w:r>
            <w:r w:rsidR="00C66B3C">
              <w:t>189</w:t>
            </w:r>
          </w:p>
        </w:tc>
      </w:tr>
      <w:tr w:rsidR="00492345" w14:paraId="76945318" w14:textId="77777777" w:rsidTr="00100744">
        <w:tc>
          <w:tcPr>
            <w:tcW w:w="2694" w:type="dxa"/>
            <w:tcBorders>
              <w:top w:val="nil"/>
              <w:bottom w:val="single" w:sz="4" w:space="0" w:color="auto"/>
            </w:tcBorders>
          </w:tcPr>
          <w:p w14:paraId="4E40E027" w14:textId="77777777" w:rsidR="00492345" w:rsidRDefault="00492345" w:rsidP="00100744">
            <w:r>
              <w:t>Encephalocele</w:t>
            </w:r>
          </w:p>
        </w:tc>
        <w:tc>
          <w:tcPr>
            <w:tcW w:w="3521" w:type="dxa"/>
            <w:tcBorders>
              <w:top w:val="nil"/>
              <w:bottom w:val="single" w:sz="4" w:space="0" w:color="auto"/>
              <w:right w:val="nil"/>
            </w:tcBorders>
          </w:tcPr>
          <w:p w14:paraId="29E428DD" w14:textId="5B006A15" w:rsidR="00492345" w:rsidRDefault="005F1E8B" w:rsidP="00100744">
            <w:r>
              <w:t>3.4</w:t>
            </w:r>
          </w:p>
        </w:tc>
        <w:tc>
          <w:tcPr>
            <w:tcW w:w="3521" w:type="dxa"/>
            <w:tcBorders>
              <w:top w:val="nil"/>
              <w:left w:val="nil"/>
              <w:bottom w:val="single" w:sz="4" w:space="0" w:color="auto"/>
            </w:tcBorders>
          </w:tcPr>
          <w:p w14:paraId="310060F5" w14:textId="37429C32" w:rsidR="00492345" w:rsidRDefault="0034623C" w:rsidP="00100744">
            <w:r>
              <w:t>0.6</w:t>
            </w:r>
            <w:r w:rsidR="00C66B3C">
              <w:t>43</w:t>
            </w:r>
          </w:p>
        </w:tc>
      </w:tr>
      <w:tr w:rsidR="00492345" w14:paraId="16C3C372" w14:textId="77777777" w:rsidTr="00100744">
        <w:tc>
          <w:tcPr>
            <w:tcW w:w="2694" w:type="dxa"/>
            <w:tcBorders>
              <w:top w:val="single" w:sz="4" w:space="0" w:color="auto"/>
            </w:tcBorders>
          </w:tcPr>
          <w:p w14:paraId="3344B37C" w14:textId="77777777" w:rsidR="00492345" w:rsidRPr="00A65E1E" w:rsidRDefault="00492345" w:rsidP="00100744">
            <w:pPr>
              <w:rPr>
                <w:b/>
                <w:bCs/>
              </w:rPr>
            </w:pPr>
            <w:r w:rsidRPr="00A65E1E">
              <w:rPr>
                <w:b/>
                <w:bCs/>
              </w:rPr>
              <w:t>Total</w:t>
            </w:r>
          </w:p>
        </w:tc>
        <w:tc>
          <w:tcPr>
            <w:tcW w:w="3521" w:type="dxa"/>
            <w:tcBorders>
              <w:top w:val="single" w:sz="4" w:space="0" w:color="auto"/>
              <w:bottom w:val="single" w:sz="4" w:space="0" w:color="auto"/>
              <w:right w:val="nil"/>
            </w:tcBorders>
          </w:tcPr>
          <w:p w14:paraId="6DA667F2" w14:textId="4DE19384" w:rsidR="00492345" w:rsidRPr="00A65E1E" w:rsidRDefault="005F1E8B" w:rsidP="00100744">
            <w:pPr>
              <w:rPr>
                <w:b/>
                <w:bCs/>
              </w:rPr>
            </w:pPr>
            <w:r>
              <w:rPr>
                <w:b/>
                <w:bCs/>
              </w:rPr>
              <w:t>16.6</w:t>
            </w:r>
          </w:p>
        </w:tc>
        <w:tc>
          <w:tcPr>
            <w:tcW w:w="3521" w:type="dxa"/>
            <w:tcBorders>
              <w:top w:val="single" w:sz="4" w:space="0" w:color="auto"/>
              <w:left w:val="nil"/>
            </w:tcBorders>
          </w:tcPr>
          <w:p w14:paraId="23EEAF31" w14:textId="52E63D98" w:rsidR="00492345" w:rsidRPr="00A65E1E" w:rsidRDefault="0034623C" w:rsidP="00100744">
            <w:pPr>
              <w:rPr>
                <w:b/>
                <w:bCs/>
              </w:rPr>
            </w:pPr>
            <w:r>
              <w:rPr>
                <w:b/>
                <w:bCs/>
              </w:rPr>
              <w:t>3.1</w:t>
            </w:r>
            <w:r w:rsidR="00C66B3C">
              <w:rPr>
                <w:b/>
                <w:bCs/>
              </w:rPr>
              <w:t>4</w:t>
            </w:r>
          </w:p>
        </w:tc>
      </w:tr>
    </w:tbl>
    <w:p w14:paraId="6F2D9B51" w14:textId="77777777" w:rsidR="00492345" w:rsidRDefault="00492345" w:rsidP="00492345"/>
    <w:p w14:paraId="48072FA2" w14:textId="0B4A2D60" w:rsidR="00492345" w:rsidRDefault="00492345" w:rsidP="00492345">
      <w:r>
        <w:t>The approach taken to monetise the health benefits of a reduction in the number of NTD cases was to calculate the loss in Quality Adjusted Life Years (QALYs) that would occur in an individual with an NTD when compared to a typical individual born without an NTD (and with otherwise average health). If an NTD was prevented, this loss would be considered prevente</w:t>
      </w:r>
      <w:r w:rsidRPr="006B02A0">
        <w:rPr>
          <w:rFonts w:cstheme="minorHAnsi"/>
        </w:rPr>
        <w:t>d.</w:t>
      </w:r>
      <w:r w:rsidRPr="006B02A0">
        <w:rPr>
          <w:rStyle w:val="FootnoteReference"/>
          <w:rFonts w:asciiTheme="minorHAnsi" w:hAnsiTheme="minorHAnsi" w:cstheme="minorHAnsi"/>
          <w:sz w:val="24"/>
        </w:rPr>
        <w:footnoteReference w:id="10"/>
      </w:r>
    </w:p>
    <w:p w14:paraId="56BB3E8E" w14:textId="77777777" w:rsidR="00492345" w:rsidRPr="00A535F2" w:rsidRDefault="00492345" w:rsidP="00C337DF">
      <w:pPr>
        <w:pStyle w:val="Heading4"/>
        <w:rPr>
          <w:color w:val="auto"/>
        </w:rPr>
      </w:pPr>
      <w:r w:rsidRPr="00A535F2">
        <w:rPr>
          <w:color w:val="auto"/>
        </w:rPr>
        <w:t>QALY for an individual without an NTD</w:t>
      </w:r>
    </w:p>
    <w:p w14:paraId="685BAC38" w14:textId="0A5E4B02" w:rsidR="00492345" w:rsidRPr="00930211" w:rsidRDefault="00492345" w:rsidP="00492345">
      <w:r>
        <w:t xml:space="preserve">The </w:t>
      </w:r>
      <w:r w:rsidRPr="00930211">
        <w:t>lifetime health profile of a typical individual without an NTD i</w:t>
      </w:r>
      <w:r w:rsidR="0070611D" w:rsidRPr="00930211">
        <w:t>s</w:t>
      </w:r>
      <w:r w:rsidRPr="00930211">
        <w:t xml:space="preserve"> taken from</w:t>
      </w:r>
      <w:r w:rsidRPr="00A535F2">
        <w:rPr>
          <w:color w:val="0070C0"/>
        </w:rPr>
        <w:t xml:space="preserve"> </w:t>
      </w:r>
      <w:hyperlink r:id="rId15" w:anchor="tbl1" w:history="1">
        <w:r w:rsidRPr="00A535F2">
          <w:rPr>
            <w:rStyle w:val="Hyperlink"/>
            <w:rFonts w:cstheme="minorBidi"/>
            <w:color w:val="0070C0"/>
          </w:rPr>
          <w:t>McNamara et al (2023)</w:t>
        </w:r>
      </w:hyperlink>
      <w:r w:rsidRPr="00930211">
        <w:t xml:space="preserve"> as expressed by EQ5D scores in varying age bands. It is assumed the English population results in this paper are representative to Scotland as well</w:t>
      </w:r>
      <w:r w:rsidR="008022ED" w:rsidRPr="00930211">
        <w:t xml:space="preserve"> (A</w:t>
      </w:r>
      <w:r w:rsidR="009C6F5E" w:rsidRPr="00930211">
        <w:t>6</w:t>
      </w:r>
      <w:r w:rsidR="008022ED" w:rsidRPr="00930211">
        <w:t>)</w:t>
      </w:r>
      <w:r w:rsidRPr="00930211">
        <w:t xml:space="preserve">. These EQ5D scores are converted into discounted QALYs using the standard </w:t>
      </w:r>
      <w:hyperlink r:id="rId16" w:history="1">
        <w:r w:rsidRPr="00A535F2">
          <w:rPr>
            <w:rStyle w:val="Hyperlink"/>
            <w:rFonts w:cstheme="minorBidi"/>
            <w:color w:val="0070C0"/>
          </w:rPr>
          <w:t>Green Book</w:t>
        </w:r>
      </w:hyperlink>
      <w:r w:rsidRPr="00930211">
        <w:t xml:space="preserve"> discount rate of 1.5% for health factors. The standard deviation of the EQ5D score was 0.24. This is used when constructing the range of health benefit estimates in </w:t>
      </w:r>
      <w:r w:rsidR="00877DF3" w:rsidRPr="00930211">
        <w:fldChar w:fldCharType="begin"/>
      </w:r>
      <w:r w:rsidR="00877DF3" w:rsidRPr="00930211">
        <w:instrText xml:space="preserve"> REF _Ref164425039 \h  \* MERGEFORMAT </w:instrText>
      </w:r>
      <w:r w:rsidR="00877DF3" w:rsidRPr="00930211">
        <w:fldChar w:fldCharType="separate"/>
      </w:r>
      <w:r w:rsidR="00115CF7">
        <w:t xml:space="preserve">Table </w:t>
      </w:r>
      <w:r w:rsidR="00115CF7">
        <w:rPr>
          <w:noProof/>
        </w:rPr>
        <w:t>10</w:t>
      </w:r>
      <w:r w:rsidR="00877DF3" w:rsidRPr="00930211">
        <w:fldChar w:fldCharType="end"/>
      </w:r>
      <w:r w:rsidRPr="00930211">
        <w:t xml:space="preserve"> below.</w:t>
      </w:r>
    </w:p>
    <w:p w14:paraId="1FEAC9FF" w14:textId="77777777" w:rsidR="00492345" w:rsidRPr="00930211" w:rsidRDefault="00492345" w:rsidP="00492345"/>
    <w:p w14:paraId="68AFB5B4" w14:textId="22D4BA03" w:rsidR="00492345" w:rsidRPr="00930211" w:rsidRDefault="00492345" w:rsidP="00492345">
      <w:r w:rsidRPr="00930211">
        <w:t>We assume that individuals without NTDs live for 81 years</w:t>
      </w:r>
      <w:r w:rsidR="008022ED" w:rsidRPr="00930211">
        <w:t xml:space="preserve"> (A</w:t>
      </w:r>
      <w:r w:rsidR="00994E1D" w:rsidRPr="00930211">
        <w:t>7</w:t>
      </w:r>
      <w:r w:rsidR="008022ED" w:rsidRPr="00930211">
        <w:t>)</w:t>
      </w:r>
      <w:r w:rsidRPr="00930211">
        <w:t xml:space="preserve">. This was the average life expectancy of a new-born in the UK in 2020 (see the </w:t>
      </w:r>
      <w:hyperlink r:id="rId17" w:history="1">
        <w:r w:rsidRPr="00A535F2">
          <w:rPr>
            <w:rStyle w:val="Hyperlink"/>
            <w:rFonts w:cstheme="minorBidi"/>
            <w:color w:val="0070C0"/>
          </w:rPr>
          <w:t>National Life Tables, ONS, 2021</w:t>
        </w:r>
      </w:hyperlink>
      <w:r w:rsidRPr="00A535F2">
        <w:rPr>
          <w:color w:val="0070C0"/>
        </w:rPr>
        <w:t xml:space="preserve">). </w:t>
      </w:r>
      <w:r w:rsidRPr="00930211">
        <w:t>The resulting expected QALYs of a typical new-born when discounted was 41.9.</w:t>
      </w:r>
    </w:p>
    <w:p w14:paraId="37DAB14D" w14:textId="77777777" w:rsidR="00492345" w:rsidRPr="00A535F2" w:rsidRDefault="00492345" w:rsidP="00C337DF">
      <w:pPr>
        <w:pStyle w:val="Heading4"/>
        <w:rPr>
          <w:color w:val="auto"/>
        </w:rPr>
      </w:pPr>
      <w:r w:rsidRPr="00A535F2">
        <w:rPr>
          <w:color w:val="auto"/>
        </w:rPr>
        <w:t>QALY for an individual with an NTD</w:t>
      </w:r>
    </w:p>
    <w:p w14:paraId="5BD0BAED" w14:textId="3EDF4A31" w:rsidR="00492345" w:rsidRPr="00930211" w:rsidRDefault="00492345" w:rsidP="00492345">
      <w:r w:rsidRPr="00930211">
        <w:t xml:space="preserve">The above process was repeated for new-borns with Spina Bifida and Anencephaly. The average life expectancies for new-borns with these NTDs were </w:t>
      </w:r>
      <w:r w:rsidR="000D5177" w:rsidRPr="00930211">
        <w:t>43</w:t>
      </w:r>
      <w:r w:rsidRPr="00930211">
        <w:t xml:space="preserve"> years (</w:t>
      </w:r>
      <w:hyperlink r:id="rId18" w:history="1">
        <w:r w:rsidRPr="00A535F2">
          <w:rPr>
            <w:rStyle w:val="Hyperlink"/>
            <w:rFonts w:cstheme="minorBidi"/>
            <w:color w:val="0070C0"/>
          </w:rPr>
          <w:t>Rabovskaja et al, 2013</w:t>
        </w:r>
      </w:hyperlink>
      <w:r w:rsidRPr="00930211">
        <w:t>) and less than 1 day (</w:t>
      </w:r>
      <w:hyperlink r:id="rId19" w:anchor="outcome" w:history="1">
        <w:r w:rsidRPr="00A535F2">
          <w:rPr>
            <w:rStyle w:val="Hyperlink"/>
            <w:rFonts w:cstheme="minorBidi"/>
            <w:color w:val="0070C0"/>
          </w:rPr>
          <w:t>UK Government, 2020</w:t>
        </w:r>
      </w:hyperlink>
      <w:r w:rsidRPr="00930211">
        <w:t>), respectively. No data was identified for the life expectancy, or average quality, of children born with Encephalocele; this analysis assumes this is the same as Spina Bifida</w:t>
      </w:r>
      <w:r w:rsidR="00994E1D" w:rsidRPr="00930211">
        <w:t xml:space="preserve"> (A</w:t>
      </w:r>
      <w:r w:rsidR="00F53391" w:rsidRPr="00930211">
        <w:t>8</w:t>
      </w:r>
      <w:r w:rsidR="00994E1D" w:rsidRPr="00930211">
        <w:t>)</w:t>
      </w:r>
      <w:r w:rsidRPr="00930211">
        <w:t>. This is likely to understate the benefits of fortification, as Encephalocele is a more serious condition.</w:t>
      </w:r>
    </w:p>
    <w:p w14:paraId="719FFBC6" w14:textId="77777777" w:rsidR="00492345" w:rsidRPr="00930211" w:rsidRDefault="00492345" w:rsidP="00492345"/>
    <w:p w14:paraId="64117B09" w14:textId="151B49B6" w:rsidR="00492345" w:rsidRDefault="005C7B21" w:rsidP="00492345">
      <w:r w:rsidRPr="00930211">
        <w:t>Life years for Spina Bifida were</w:t>
      </w:r>
      <w:r w:rsidR="00492345" w:rsidRPr="00930211">
        <w:t xml:space="preserve"> converted to discounted QALYs using different weighted QALY utility values from literature (</w:t>
      </w:r>
      <w:hyperlink r:id="rId20" w:history="1">
        <w:r w:rsidR="00492345" w:rsidRPr="00A535F2">
          <w:rPr>
            <w:rStyle w:val="Hyperlink"/>
            <w:rFonts w:cstheme="minorBidi"/>
            <w:color w:val="0070C0"/>
          </w:rPr>
          <w:t>Tilford et al, 2005</w:t>
        </w:r>
      </w:hyperlink>
      <w:r w:rsidR="00492345" w:rsidRPr="00930211">
        <w:t>)</w:t>
      </w:r>
      <w:r w:rsidRPr="00930211">
        <w:t>. These more accurately reflect the decreased quality of life compared to someone of average</w:t>
      </w:r>
      <w:r>
        <w:t xml:space="preserve"> health (as Green Book </w:t>
      </w:r>
      <w:r w:rsidR="00C34F84">
        <w:t xml:space="preserve">QALYs do). For </w:t>
      </w:r>
      <w:r w:rsidR="00C34F84" w:rsidRPr="00930211">
        <w:t>Spina Bifida, this adjustment was 0.55</w:t>
      </w:r>
      <w:r w:rsidR="009F4D25" w:rsidRPr="00930211">
        <w:t>, resulting in an assumed discounted QALY of 17.6. It is assumed this holds for Encephalocele as well</w:t>
      </w:r>
      <w:r w:rsidR="008905B3" w:rsidRPr="00930211">
        <w:t xml:space="preserve"> (A</w:t>
      </w:r>
      <w:r w:rsidR="00F53391" w:rsidRPr="00930211">
        <w:t>8</w:t>
      </w:r>
      <w:r w:rsidR="008905B3" w:rsidRPr="00930211">
        <w:t>)</w:t>
      </w:r>
      <w:r w:rsidR="009F4D25" w:rsidRPr="00930211">
        <w:t>, in the absence of data</w:t>
      </w:r>
      <w:r w:rsidR="006858E9" w:rsidRPr="00930211">
        <w:t xml:space="preserve">. </w:t>
      </w:r>
      <w:r w:rsidR="00492345" w:rsidRPr="00930211">
        <w:t>Anencephaly is assumed to have a QALY utility of 0</w:t>
      </w:r>
      <w:r w:rsidR="006858E9" w:rsidRPr="00930211">
        <w:t xml:space="preserve"> as per assumption A</w:t>
      </w:r>
      <w:r w:rsidR="00000F90" w:rsidRPr="00930211">
        <w:t>9</w:t>
      </w:r>
      <w:r w:rsidR="00492345" w:rsidRPr="00930211">
        <w:t xml:space="preserve">. The discounted QALY figures were then subtracted from the QALY life expectancy for a new-born without an NTD </w:t>
      </w:r>
      <w:r w:rsidR="003C7751" w:rsidRPr="00930211">
        <w:t xml:space="preserve">in order </w:t>
      </w:r>
      <w:r w:rsidR="00492345" w:rsidRPr="00930211">
        <w:t>to calculate the QALY loss</w:t>
      </w:r>
      <w:r w:rsidR="00187352" w:rsidRPr="00930211">
        <w:t xml:space="preserve"> (see</w:t>
      </w:r>
      <w:r w:rsidR="00181FE2" w:rsidRPr="00930211">
        <w:t xml:space="preserve"> </w:t>
      </w:r>
      <w:r w:rsidR="00181FE2" w:rsidRPr="00930211">
        <w:fldChar w:fldCharType="begin"/>
      </w:r>
      <w:r w:rsidR="00181FE2" w:rsidRPr="00930211">
        <w:instrText xml:space="preserve"> REF _Ref164425039 \h  \* MERGEFORMAT </w:instrText>
      </w:r>
      <w:r w:rsidR="00181FE2" w:rsidRPr="00930211">
        <w:fldChar w:fldCharType="separate"/>
      </w:r>
      <w:r w:rsidR="00115CF7">
        <w:t xml:space="preserve">Table </w:t>
      </w:r>
      <w:r w:rsidR="00115CF7">
        <w:rPr>
          <w:noProof/>
        </w:rPr>
        <w:t>10</w:t>
      </w:r>
      <w:r w:rsidR="00181FE2" w:rsidRPr="00930211">
        <w:fldChar w:fldCharType="end"/>
      </w:r>
      <w:r w:rsidR="00187352" w:rsidRPr="00930211">
        <w:t>).</w:t>
      </w:r>
    </w:p>
    <w:p w14:paraId="4AB5ADF0" w14:textId="1D2B85B3" w:rsidR="00492345" w:rsidRPr="00A535F2" w:rsidRDefault="00492345" w:rsidP="00C337DF">
      <w:pPr>
        <w:pStyle w:val="Heading4"/>
        <w:rPr>
          <w:color w:val="auto"/>
        </w:rPr>
      </w:pPr>
      <w:r w:rsidRPr="00A535F2">
        <w:rPr>
          <w:color w:val="auto"/>
        </w:rPr>
        <w:t>Monetised QALY benefits</w:t>
      </w:r>
    </w:p>
    <w:p w14:paraId="4A1D03AF" w14:textId="5258D732" w:rsidR="007721EF" w:rsidRDefault="00492345" w:rsidP="00492345">
      <w:r>
        <w:t>A single QALY is valued at £70,000, as per the standard Green Book practice</w:t>
      </w:r>
      <w:r w:rsidR="00072F65">
        <w:t xml:space="preserve"> (in 2020 prices)</w:t>
      </w:r>
      <w:r>
        <w:t>. Multiplying each of the NTD discounted lifetime QALYs loss produces the monetised health benefit for a single prevented case. This benefit is £1.</w:t>
      </w:r>
      <w:r w:rsidR="005B65B1">
        <w:t xml:space="preserve">9m </w:t>
      </w:r>
      <w:r>
        <w:t>for someone who would’ve had Spina Bifida or Encephalocele, and £</w:t>
      </w:r>
      <w:r w:rsidR="005B65B1">
        <w:t>3.4</w:t>
      </w:r>
      <w:r>
        <w:t>m for someone who would’ve had Anencephaly.</w:t>
      </w:r>
    </w:p>
    <w:p w14:paraId="4869656D" w14:textId="2CA55824" w:rsidR="007721EF" w:rsidRPr="00852E91" w:rsidRDefault="007721EF" w:rsidP="007721EF">
      <w:pPr>
        <w:rPr>
          <w:color w:val="276944" w:themeColor="accent2"/>
        </w:rPr>
      </w:pPr>
    </w:p>
    <w:p w14:paraId="40ED4C5B" w14:textId="71DA310C" w:rsidR="001D0436" w:rsidRPr="00A535F2" w:rsidRDefault="001D0436" w:rsidP="001D0436">
      <w:pPr>
        <w:pStyle w:val="Caption"/>
        <w:keepNext/>
        <w:rPr>
          <w:color w:val="auto"/>
        </w:rPr>
      </w:pPr>
      <w:bookmarkStart w:id="127" w:name="_Ref164425039"/>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11</w:t>
      </w:r>
      <w:r w:rsidR="00000F90" w:rsidRPr="00A535F2">
        <w:rPr>
          <w:noProof/>
          <w:color w:val="auto"/>
        </w:rPr>
        <w:fldChar w:fldCharType="end"/>
      </w:r>
      <w:bookmarkEnd w:id="127"/>
      <w:r w:rsidRPr="00A535F2">
        <w:rPr>
          <w:color w:val="auto"/>
        </w:rPr>
        <w:t>. Monetised central health benefit for each prevented NTD live birth</w:t>
      </w:r>
    </w:p>
    <w:tbl>
      <w:tblPr>
        <w:tblStyle w:val="TableGrid"/>
        <w:tblW w:w="0" w:type="auto"/>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263"/>
        <w:gridCol w:w="1494"/>
        <w:gridCol w:w="1495"/>
        <w:gridCol w:w="1494"/>
        <w:gridCol w:w="1495"/>
        <w:gridCol w:w="1495"/>
      </w:tblGrid>
      <w:tr w:rsidR="007721EF" w14:paraId="78035673" w14:textId="77777777" w:rsidTr="00100744">
        <w:tc>
          <w:tcPr>
            <w:tcW w:w="2263" w:type="dxa"/>
            <w:vMerge w:val="restart"/>
            <w:tcBorders>
              <w:top w:val="single" w:sz="4" w:space="0" w:color="auto"/>
            </w:tcBorders>
          </w:tcPr>
          <w:p w14:paraId="0E64E217" w14:textId="77777777" w:rsidR="007721EF" w:rsidRPr="000C70EF" w:rsidRDefault="007721EF" w:rsidP="00100744">
            <w:pPr>
              <w:rPr>
                <w:b/>
                <w:bCs/>
              </w:rPr>
            </w:pPr>
            <w:r w:rsidRPr="000C70EF">
              <w:rPr>
                <w:b/>
                <w:bCs/>
              </w:rPr>
              <w:t>NTD</w:t>
            </w:r>
          </w:p>
        </w:tc>
        <w:tc>
          <w:tcPr>
            <w:tcW w:w="1494" w:type="dxa"/>
            <w:tcBorders>
              <w:top w:val="single" w:sz="4" w:space="0" w:color="auto"/>
              <w:bottom w:val="nil"/>
            </w:tcBorders>
          </w:tcPr>
          <w:p w14:paraId="4F423783" w14:textId="77777777" w:rsidR="007721EF" w:rsidRPr="000C70EF" w:rsidRDefault="007721EF" w:rsidP="00100744">
            <w:pPr>
              <w:rPr>
                <w:b/>
                <w:bCs/>
              </w:rPr>
            </w:pPr>
            <w:r w:rsidRPr="000C70EF">
              <w:rPr>
                <w:b/>
                <w:bCs/>
              </w:rPr>
              <w:t>Life expectancy</w:t>
            </w:r>
          </w:p>
        </w:tc>
        <w:tc>
          <w:tcPr>
            <w:tcW w:w="1495" w:type="dxa"/>
            <w:tcBorders>
              <w:top w:val="single" w:sz="4" w:space="0" w:color="auto"/>
              <w:bottom w:val="nil"/>
            </w:tcBorders>
          </w:tcPr>
          <w:p w14:paraId="3A588E68" w14:textId="77777777" w:rsidR="007721EF" w:rsidRPr="000C70EF" w:rsidRDefault="007721EF" w:rsidP="00100744">
            <w:pPr>
              <w:rPr>
                <w:b/>
                <w:bCs/>
              </w:rPr>
            </w:pPr>
            <w:r w:rsidRPr="000C70EF">
              <w:rPr>
                <w:b/>
                <w:bCs/>
              </w:rPr>
              <w:t>QALY adjustment</w:t>
            </w:r>
          </w:p>
        </w:tc>
        <w:tc>
          <w:tcPr>
            <w:tcW w:w="1494" w:type="dxa"/>
            <w:tcBorders>
              <w:top w:val="single" w:sz="4" w:space="0" w:color="auto"/>
              <w:bottom w:val="nil"/>
            </w:tcBorders>
          </w:tcPr>
          <w:p w14:paraId="725C023F" w14:textId="77777777" w:rsidR="007721EF" w:rsidRPr="000C70EF" w:rsidRDefault="007721EF" w:rsidP="00100744">
            <w:pPr>
              <w:rPr>
                <w:b/>
                <w:bCs/>
              </w:rPr>
            </w:pPr>
            <w:r w:rsidRPr="000C70EF">
              <w:rPr>
                <w:b/>
                <w:bCs/>
              </w:rPr>
              <w:t>Discounted lifetime QALYs</w:t>
            </w:r>
          </w:p>
        </w:tc>
        <w:tc>
          <w:tcPr>
            <w:tcW w:w="1495" w:type="dxa"/>
            <w:tcBorders>
              <w:top w:val="single" w:sz="4" w:space="0" w:color="auto"/>
              <w:bottom w:val="nil"/>
            </w:tcBorders>
          </w:tcPr>
          <w:p w14:paraId="4ECF1C41" w14:textId="77777777" w:rsidR="007721EF" w:rsidRPr="000C70EF" w:rsidRDefault="007721EF" w:rsidP="00100744">
            <w:pPr>
              <w:rPr>
                <w:b/>
                <w:bCs/>
              </w:rPr>
            </w:pPr>
            <w:r w:rsidRPr="000C70EF">
              <w:rPr>
                <w:b/>
                <w:bCs/>
              </w:rPr>
              <w:t>Discounted lifetime QALY loss</w:t>
            </w:r>
          </w:p>
        </w:tc>
        <w:tc>
          <w:tcPr>
            <w:tcW w:w="1495" w:type="dxa"/>
            <w:tcBorders>
              <w:top w:val="single" w:sz="4" w:space="0" w:color="auto"/>
              <w:bottom w:val="nil"/>
            </w:tcBorders>
          </w:tcPr>
          <w:p w14:paraId="7A7BBCB5" w14:textId="6B49AC89" w:rsidR="007721EF" w:rsidRPr="000C70EF" w:rsidRDefault="007721EF" w:rsidP="00100744">
            <w:pPr>
              <w:rPr>
                <w:b/>
                <w:bCs/>
              </w:rPr>
            </w:pPr>
            <w:r w:rsidRPr="000C70EF">
              <w:rPr>
                <w:b/>
                <w:bCs/>
              </w:rPr>
              <w:t>Discounted value of loss per individual</w:t>
            </w:r>
            <w:r w:rsidR="006823D7">
              <w:rPr>
                <w:b/>
                <w:bCs/>
              </w:rPr>
              <w:t>*</w:t>
            </w:r>
          </w:p>
        </w:tc>
      </w:tr>
      <w:tr w:rsidR="007721EF" w14:paraId="19DC097B" w14:textId="77777777" w:rsidTr="00100744">
        <w:tc>
          <w:tcPr>
            <w:tcW w:w="2263" w:type="dxa"/>
            <w:vMerge/>
            <w:tcBorders>
              <w:bottom w:val="single" w:sz="4" w:space="0" w:color="auto"/>
            </w:tcBorders>
          </w:tcPr>
          <w:p w14:paraId="33186CCB" w14:textId="77777777" w:rsidR="007721EF" w:rsidRDefault="007721EF" w:rsidP="00100744"/>
        </w:tc>
        <w:tc>
          <w:tcPr>
            <w:tcW w:w="1494" w:type="dxa"/>
            <w:tcBorders>
              <w:top w:val="nil"/>
              <w:bottom w:val="single" w:sz="4" w:space="0" w:color="auto"/>
            </w:tcBorders>
          </w:tcPr>
          <w:p w14:paraId="4B127AB1" w14:textId="77777777" w:rsidR="007721EF" w:rsidRPr="000C70EF" w:rsidRDefault="007721EF" w:rsidP="00100744">
            <w:pPr>
              <w:rPr>
                <w:sz w:val="20"/>
                <w:szCs w:val="20"/>
              </w:rPr>
            </w:pPr>
            <w:r w:rsidRPr="000C70EF">
              <w:rPr>
                <w:sz w:val="20"/>
                <w:szCs w:val="20"/>
              </w:rPr>
              <w:t>Years</w:t>
            </w:r>
          </w:p>
        </w:tc>
        <w:tc>
          <w:tcPr>
            <w:tcW w:w="1495" w:type="dxa"/>
            <w:tcBorders>
              <w:top w:val="nil"/>
              <w:bottom w:val="single" w:sz="4" w:space="0" w:color="auto"/>
            </w:tcBorders>
          </w:tcPr>
          <w:p w14:paraId="1EF9B510" w14:textId="02FCF848" w:rsidR="007721EF" w:rsidRPr="000C70EF" w:rsidRDefault="007721EF" w:rsidP="00100744">
            <w:pPr>
              <w:rPr>
                <w:sz w:val="20"/>
                <w:szCs w:val="20"/>
              </w:rPr>
            </w:pPr>
          </w:p>
        </w:tc>
        <w:tc>
          <w:tcPr>
            <w:tcW w:w="1494" w:type="dxa"/>
            <w:tcBorders>
              <w:top w:val="nil"/>
              <w:bottom w:val="single" w:sz="4" w:space="0" w:color="auto"/>
            </w:tcBorders>
          </w:tcPr>
          <w:p w14:paraId="6CA3FBB4" w14:textId="3DCD8154" w:rsidR="007721EF" w:rsidRPr="000C70EF" w:rsidRDefault="007721EF" w:rsidP="00100744">
            <w:pPr>
              <w:rPr>
                <w:sz w:val="20"/>
                <w:szCs w:val="20"/>
              </w:rPr>
            </w:pPr>
          </w:p>
        </w:tc>
        <w:tc>
          <w:tcPr>
            <w:tcW w:w="1495" w:type="dxa"/>
            <w:tcBorders>
              <w:top w:val="nil"/>
              <w:bottom w:val="single" w:sz="4" w:space="0" w:color="auto"/>
            </w:tcBorders>
          </w:tcPr>
          <w:p w14:paraId="69FC20E0" w14:textId="0FE73C94" w:rsidR="007721EF" w:rsidRPr="000C70EF" w:rsidRDefault="007721EF" w:rsidP="00100744">
            <w:pPr>
              <w:rPr>
                <w:sz w:val="20"/>
                <w:szCs w:val="20"/>
              </w:rPr>
            </w:pPr>
          </w:p>
        </w:tc>
        <w:tc>
          <w:tcPr>
            <w:tcW w:w="1495" w:type="dxa"/>
            <w:tcBorders>
              <w:top w:val="nil"/>
              <w:bottom w:val="single" w:sz="4" w:space="0" w:color="auto"/>
            </w:tcBorders>
          </w:tcPr>
          <w:p w14:paraId="08860E37" w14:textId="350BA1B4" w:rsidR="007721EF" w:rsidRPr="000C70EF" w:rsidRDefault="007748AF" w:rsidP="00100744">
            <w:pPr>
              <w:rPr>
                <w:sz w:val="20"/>
                <w:szCs w:val="20"/>
              </w:rPr>
            </w:pPr>
            <w:r w:rsidRPr="000C70EF">
              <w:rPr>
                <w:sz w:val="20"/>
                <w:szCs w:val="20"/>
              </w:rPr>
              <w:t>20</w:t>
            </w:r>
            <w:r>
              <w:rPr>
                <w:sz w:val="20"/>
                <w:szCs w:val="20"/>
              </w:rPr>
              <w:t xml:space="preserve">24 </w:t>
            </w:r>
            <w:r w:rsidR="007721EF" w:rsidRPr="000C70EF">
              <w:rPr>
                <w:sz w:val="20"/>
                <w:szCs w:val="20"/>
              </w:rPr>
              <w:t>prices</w:t>
            </w:r>
          </w:p>
        </w:tc>
      </w:tr>
      <w:tr w:rsidR="007721EF" w14:paraId="417121ED" w14:textId="77777777" w:rsidTr="00100744">
        <w:tc>
          <w:tcPr>
            <w:tcW w:w="2263" w:type="dxa"/>
            <w:tcBorders>
              <w:top w:val="single" w:sz="4" w:space="0" w:color="auto"/>
            </w:tcBorders>
          </w:tcPr>
          <w:p w14:paraId="296481B0" w14:textId="77777777" w:rsidR="007721EF" w:rsidRDefault="007721EF" w:rsidP="00100744">
            <w:r>
              <w:t>Spina Bifida</w:t>
            </w:r>
          </w:p>
        </w:tc>
        <w:tc>
          <w:tcPr>
            <w:tcW w:w="1494" w:type="dxa"/>
            <w:tcBorders>
              <w:top w:val="single" w:sz="4" w:space="0" w:color="auto"/>
            </w:tcBorders>
          </w:tcPr>
          <w:p w14:paraId="0FCFF3CA" w14:textId="77777777" w:rsidR="007721EF" w:rsidRDefault="007721EF" w:rsidP="00100744">
            <w:r>
              <w:t>43</w:t>
            </w:r>
          </w:p>
        </w:tc>
        <w:tc>
          <w:tcPr>
            <w:tcW w:w="1495" w:type="dxa"/>
            <w:tcBorders>
              <w:top w:val="single" w:sz="4" w:space="0" w:color="auto"/>
            </w:tcBorders>
          </w:tcPr>
          <w:p w14:paraId="37C83E5C" w14:textId="77777777" w:rsidR="007721EF" w:rsidRDefault="007721EF" w:rsidP="00100744">
            <w:r>
              <w:t>0.55</w:t>
            </w:r>
          </w:p>
        </w:tc>
        <w:tc>
          <w:tcPr>
            <w:tcW w:w="1494" w:type="dxa"/>
            <w:tcBorders>
              <w:top w:val="single" w:sz="4" w:space="0" w:color="auto"/>
            </w:tcBorders>
          </w:tcPr>
          <w:p w14:paraId="180D2F2F" w14:textId="77777777" w:rsidR="007721EF" w:rsidRDefault="007721EF" w:rsidP="00100744">
            <w:r>
              <w:t>17.6</w:t>
            </w:r>
          </w:p>
        </w:tc>
        <w:tc>
          <w:tcPr>
            <w:tcW w:w="1495" w:type="dxa"/>
            <w:tcBorders>
              <w:top w:val="single" w:sz="4" w:space="0" w:color="auto"/>
            </w:tcBorders>
          </w:tcPr>
          <w:p w14:paraId="4CD7D6CB" w14:textId="77777777" w:rsidR="007721EF" w:rsidRDefault="007721EF" w:rsidP="00100744">
            <w:r>
              <w:t>24.2</w:t>
            </w:r>
          </w:p>
        </w:tc>
        <w:tc>
          <w:tcPr>
            <w:tcW w:w="1495" w:type="dxa"/>
            <w:tcBorders>
              <w:top w:val="single" w:sz="4" w:space="0" w:color="auto"/>
            </w:tcBorders>
          </w:tcPr>
          <w:p w14:paraId="0F5816D8" w14:textId="1A47491D" w:rsidR="007721EF" w:rsidRDefault="007721EF" w:rsidP="00100744">
            <w:r>
              <w:t>£1.</w:t>
            </w:r>
            <w:r w:rsidR="001D202B">
              <w:t>9m</w:t>
            </w:r>
          </w:p>
        </w:tc>
      </w:tr>
      <w:tr w:rsidR="007721EF" w14:paraId="35D447CE" w14:textId="77777777" w:rsidTr="00100744">
        <w:tc>
          <w:tcPr>
            <w:tcW w:w="2263" w:type="dxa"/>
          </w:tcPr>
          <w:p w14:paraId="2C2F698D" w14:textId="77777777" w:rsidR="007721EF" w:rsidRDefault="007721EF" w:rsidP="00100744">
            <w:r>
              <w:t>Anencephaly</w:t>
            </w:r>
          </w:p>
        </w:tc>
        <w:tc>
          <w:tcPr>
            <w:tcW w:w="1494" w:type="dxa"/>
          </w:tcPr>
          <w:p w14:paraId="31F101A4" w14:textId="77777777" w:rsidR="007721EF" w:rsidRDefault="007721EF" w:rsidP="00100744">
            <w:r>
              <w:t>0</w:t>
            </w:r>
          </w:p>
        </w:tc>
        <w:tc>
          <w:tcPr>
            <w:tcW w:w="1495" w:type="dxa"/>
          </w:tcPr>
          <w:p w14:paraId="05D8CBFF" w14:textId="77777777" w:rsidR="007721EF" w:rsidRDefault="007721EF" w:rsidP="00100744">
            <w:r>
              <w:t>0</w:t>
            </w:r>
          </w:p>
        </w:tc>
        <w:tc>
          <w:tcPr>
            <w:tcW w:w="1494" w:type="dxa"/>
          </w:tcPr>
          <w:p w14:paraId="691699D3" w14:textId="77777777" w:rsidR="007721EF" w:rsidRDefault="007721EF" w:rsidP="00100744">
            <w:r>
              <w:t>0</w:t>
            </w:r>
          </w:p>
        </w:tc>
        <w:tc>
          <w:tcPr>
            <w:tcW w:w="1495" w:type="dxa"/>
          </w:tcPr>
          <w:p w14:paraId="23182997" w14:textId="77777777" w:rsidR="007721EF" w:rsidRDefault="007721EF" w:rsidP="00100744">
            <w:r>
              <w:t>41.9</w:t>
            </w:r>
          </w:p>
        </w:tc>
        <w:tc>
          <w:tcPr>
            <w:tcW w:w="1495" w:type="dxa"/>
          </w:tcPr>
          <w:p w14:paraId="71005BF2" w14:textId="3BCCA564" w:rsidR="007721EF" w:rsidRDefault="007721EF" w:rsidP="00100744">
            <w:r>
              <w:t>£</w:t>
            </w:r>
            <w:r w:rsidR="00C7281A">
              <w:t>3.4</w:t>
            </w:r>
            <w:r>
              <w:t>m</w:t>
            </w:r>
          </w:p>
        </w:tc>
      </w:tr>
      <w:tr w:rsidR="007721EF" w14:paraId="60C2417A" w14:textId="77777777" w:rsidTr="00100744">
        <w:tc>
          <w:tcPr>
            <w:tcW w:w="2263" w:type="dxa"/>
          </w:tcPr>
          <w:p w14:paraId="2BD36B1A" w14:textId="77777777" w:rsidR="007721EF" w:rsidRDefault="007721EF" w:rsidP="00100744">
            <w:r>
              <w:t>Encephalocele</w:t>
            </w:r>
          </w:p>
        </w:tc>
        <w:tc>
          <w:tcPr>
            <w:tcW w:w="1494" w:type="dxa"/>
          </w:tcPr>
          <w:p w14:paraId="68C07FF0" w14:textId="77777777" w:rsidR="007721EF" w:rsidRDefault="007721EF" w:rsidP="00100744">
            <w:r>
              <w:t>43</w:t>
            </w:r>
          </w:p>
        </w:tc>
        <w:tc>
          <w:tcPr>
            <w:tcW w:w="1495" w:type="dxa"/>
          </w:tcPr>
          <w:p w14:paraId="3BF8FC92" w14:textId="77777777" w:rsidR="007721EF" w:rsidRDefault="007721EF" w:rsidP="00100744">
            <w:r>
              <w:t>0.55</w:t>
            </w:r>
          </w:p>
        </w:tc>
        <w:tc>
          <w:tcPr>
            <w:tcW w:w="1494" w:type="dxa"/>
          </w:tcPr>
          <w:p w14:paraId="59FE3378" w14:textId="77777777" w:rsidR="007721EF" w:rsidRDefault="007721EF" w:rsidP="00100744">
            <w:r>
              <w:t>17.6</w:t>
            </w:r>
          </w:p>
        </w:tc>
        <w:tc>
          <w:tcPr>
            <w:tcW w:w="1495" w:type="dxa"/>
          </w:tcPr>
          <w:p w14:paraId="080978E9" w14:textId="77777777" w:rsidR="007721EF" w:rsidRDefault="007721EF" w:rsidP="00100744">
            <w:r>
              <w:t>24.2</w:t>
            </w:r>
          </w:p>
        </w:tc>
        <w:tc>
          <w:tcPr>
            <w:tcW w:w="1495" w:type="dxa"/>
          </w:tcPr>
          <w:p w14:paraId="6E702EDA" w14:textId="34F1CE96" w:rsidR="007721EF" w:rsidRDefault="007721EF" w:rsidP="00100744">
            <w:r>
              <w:t>£1.</w:t>
            </w:r>
            <w:r w:rsidR="0025705F">
              <w:t>9m</w:t>
            </w:r>
          </w:p>
        </w:tc>
      </w:tr>
    </w:tbl>
    <w:p w14:paraId="1756CEE6" w14:textId="47B20ED2" w:rsidR="007721EF" w:rsidRPr="0025705F" w:rsidRDefault="006823D7" w:rsidP="0025705F">
      <w:pPr>
        <w:jc w:val="right"/>
        <w:rPr>
          <w:sz w:val="20"/>
          <w:szCs w:val="20"/>
        </w:rPr>
      </w:pPr>
      <w:r w:rsidRPr="0025705F">
        <w:rPr>
          <w:sz w:val="20"/>
          <w:szCs w:val="20"/>
        </w:rPr>
        <w:t xml:space="preserve">* Using </w:t>
      </w:r>
      <w:r w:rsidR="005F6191" w:rsidRPr="0025705F">
        <w:rPr>
          <w:sz w:val="20"/>
          <w:szCs w:val="20"/>
        </w:rPr>
        <w:t xml:space="preserve">an inflated QALY value </w:t>
      </w:r>
      <w:r w:rsidR="00903B09" w:rsidRPr="0025705F">
        <w:rPr>
          <w:sz w:val="20"/>
          <w:szCs w:val="20"/>
        </w:rPr>
        <w:t xml:space="preserve">in 2024 prices </w:t>
      </w:r>
      <w:r w:rsidR="005F6191" w:rsidRPr="0025705F">
        <w:rPr>
          <w:sz w:val="20"/>
          <w:szCs w:val="20"/>
        </w:rPr>
        <w:t>of £80,286.24</w:t>
      </w:r>
      <w:r w:rsidR="00903B09" w:rsidRPr="0025705F">
        <w:rPr>
          <w:sz w:val="20"/>
          <w:szCs w:val="20"/>
        </w:rPr>
        <w:t>.</w:t>
      </w:r>
    </w:p>
    <w:p w14:paraId="33056733" w14:textId="77777777" w:rsidR="006823D7" w:rsidRDefault="006823D7" w:rsidP="007721EF"/>
    <w:p w14:paraId="5C7AC5C5" w14:textId="5C77CDCF" w:rsidR="00492345" w:rsidRDefault="00492345" w:rsidP="00492345">
      <w:r>
        <w:t xml:space="preserve">Preventing cases of Anencephaly produces the largest monetised benefits due to the fact that </w:t>
      </w:r>
      <w:r w:rsidR="00C47CD6">
        <w:t xml:space="preserve">a </w:t>
      </w:r>
      <w:r>
        <w:t>majority of cases lead to death within</w:t>
      </w:r>
      <w:r w:rsidR="00F13E96">
        <w:t xml:space="preserve"> </w:t>
      </w:r>
      <w:r>
        <w:t>hours</w:t>
      </w:r>
      <w:r w:rsidR="00F13E96">
        <w:t xml:space="preserve"> or days</w:t>
      </w:r>
      <w:r>
        <w:t xml:space="preserve"> of being born, meaning each prevented case is a full lifetime gained in terms of QALYs</w:t>
      </w:r>
      <w:r w:rsidR="00FA10EE">
        <w:t xml:space="preserve"> (</w:t>
      </w:r>
      <w:r w:rsidR="006858E9">
        <w:t>A</w:t>
      </w:r>
      <w:r w:rsidR="00000F90">
        <w:t>9</w:t>
      </w:r>
      <w:r w:rsidR="006858E9">
        <w:t>)</w:t>
      </w:r>
      <w:r>
        <w:t>.</w:t>
      </w:r>
    </w:p>
    <w:p w14:paraId="00C0BCD1" w14:textId="699B6EF7" w:rsidR="00492345" w:rsidRPr="00A535F2" w:rsidRDefault="00492345" w:rsidP="00C337DF">
      <w:pPr>
        <w:pStyle w:val="Heading4"/>
        <w:rPr>
          <w:color w:val="auto"/>
        </w:rPr>
      </w:pPr>
      <w:r w:rsidRPr="00A535F2">
        <w:rPr>
          <w:color w:val="auto"/>
        </w:rPr>
        <w:t>Monetised QALY benefits over appraisal period</w:t>
      </w:r>
    </w:p>
    <w:p w14:paraId="7D184C01" w14:textId="7FCDF2D4" w:rsidR="00492345" w:rsidRDefault="00492345" w:rsidP="00492345">
      <w:r>
        <w:t>In line with cross-government impact assessment guidance, the ‘policy lifetime’ we use to assess the costs and benefits was taken to be 10 years. This is purely for the purposes of the analysis and has no bearing on how long we think the policy</w:t>
      </w:r>
      <w:r w:rsidR="003C463E">
        <w:t xml:space="preserve"> </w:t>
      </w:r>
      <w:r>
        <w:t>will last. As a result, there are 10 annual cohorts of new-borns that would benefit from a reduction in NTD cases. In line with DHSC guidance, we assess the lifetime health benefits for each cohort.</w:t>
      </w:r>
    </w:p>
    <w:p w14:paraId="2828B767" w14:textId="77777777" w:rsidR="00492345" w:rsidRDefault="00492345" w:rsidP="00492345"/>
    <w:p w14:paraId="3D10C528" w14:textId="0FA51A24" w:rsidR="00492345" w:rsidRDefault="00492345" w:rsidP="00492345">
      <w:r>
        <w:t xml:space="preserve">Note that there </w:t>
      </w:r>
      <w:r w:rsidRPr="00930211">
        <w:t>is a possibility that some women giving birth in the first year of the policy will not have had enough time to increase their blood folate levels through the intake of products containing fortified flour (i.e. some of the preconception period and first 12 weeks of pregnancy occurred before the policy was put in place). For the sake of simplicity, we ignore these marginal cases – noting that it may increase in an over-estimation of the impacts on the first cohort</w:t>
      </w:r>
      <w:r w:rsidR="00A929E3" w:rsidRPr="00930211">
        <w:t xml:space="preserve"> (A</w:t>
      </w:r>
      <w:r w:rsidR="00000F90" w:rsidRPr="00930211">
        <w:t>10</w:t>
      </w:r>
      <w:r w:rsidR="00A929E3" w:rsidRPr="00930211">
        <w:t>)</w:t>
      </w:r>
      <w:r w:rsidRPr="00930211">
        <w:t>.</w:t>
      </w:r>
      <w:r>
        <w:t xml:space="preserve"> </w:t>
      </w:r>
    </w:p>
    <w:p w14:paraId="47686819" w14:textId="77777777" w:rsidR="00492345" w:rsidRDefault="00492345" w:rsidP="00492345"/>
    <w:p w14:paraId="0B6E5563" w14:textId="6D0C6F5D" w:rsidR="00492345" w:rsidRDefault="00492345" w:rsidP="00492345">
      <w:r>
        <w:t>The total live birth health benefits from the first 10 annual cohorts given a 250</w:t>
      </w:r>
      <w:r w:rsidRPr="00377E1F">
        <w:t>μg / 100g</w:t>
      </w:r>
      <w:r>
        <w:t xml:space="preserve"> fortification level are estimated to </w:t>
      </w:r>
      <w:r w:rsidR="00502115">
        <w:t xml:space="preserve">have a present </w:t>
      </w:r>
      <w:r w:rsidR="00502115" w:rsidRPr="0051176C">
        <w:t>value of</w:t>
      </w:r>
      <w:r w:rsidRPr="0051176C">
        <w:t xml:space="preserve"> £</w:t>
      </w:r>
      <w:r w:rsidR="00810837">
        <w:t>59.4</w:t>
      </w:r>
      <w:r w:rsidR="0040757F" w:rsidRPr="0051176C">
        <w:t xml:space="preserve"> million</w:t>
      </w:r>
      <w:r w:rsidR="00502115" w:rsidRPr="0051176C">
        <w:t xml:space="preserve"> under the</w:t>
      </w:r>
      <w:r w:rsidR="00502115">
        <w:t xml:space="preserve"> central estimate</w:t>
      </w:r>
      <w:r w:rsidR="00406C63">
        <w:t xml:space="preserve"> (in 2024 prices)</w:t>
      </w:r>
      <w:r w:rsidR="00FB7BED">
        <w:t>.</w:t>
      </w:r>
    </w:p>
    <w:p w14:paraId="62C52F02" w14:textId="123DCEE5" w:rsidR="00492345" w:rsidRPr="00F71743" w:rsidRDefault="00492345" w:rsidP="00492345">
      <w:pPr>
        <w:rPr>
          <w:color w:val="276944" w:themeColor="accent2"/>
        </w:rPr>
      </w:pPr>
    </w:p>
    <w:p w14:paraId="2B12A159" w14:textId="455B48EA" w:rsidR="005F05EF" w:rsidRPr="00A535F2" w:rsidRDefault="005F05EF" w:rsidP="005F05EF">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12</w:t>
      </w:r>
      <w:r w:rsidR="00000F90" w:rsidRPr="00A535F2">
        <w:rPr>
          <w:noProof/>
          <w:color w:val="auto"/>
        </w:rPr>
        <w:fldChar w:fldCharType="end"/>
      </w:r>
      <w:r w:rsidRPr="00A535F2">
        <w:rPr>
          <w:color w:val="auto"/>
        </w:rPr>
        <w:t xml:space="preserve">. Monetised </w:t>
      </w:r>
      <w:r w:rsidR="00934B2C" w:rsidRPr="00A535F2">
        <w:rPr>
          <w:color w:val="auto"/>
        </w:rPr>
        <w:t xml:space="preserve">lifetime </w:t>
      </w:r>
      <w:r w:rsidRPr="00A535F2">
        <w:rPr>
          <w:color w:val="auto"/>
        </w:rPr>
        <w:t>health benefits by NTD (250μg / 100g flour)</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268"/>
        <w:gridCol w:w="2158"/>
        <w:gridCol w:w="2160"/>
        <w:gridCol w:w="2160"/>
      </w:tblGrid>
      <w:tr w:rsidR="00492345" w14:paraId="409CBFE6" w14:textId="77777777" w:rsidTr="00100744">
        <w:tc>
          <w:tcPr>
            <w:tcW w:w="1677" w:type="pct"/>
            <w:vMerge w:val="restart"/>
            <w:tcBorders>
              <w:top w:val="single" w:sz="4" w:space="0" w:color="auto"/>
              <w:bottom w:val="nil"/>
            </w:tcBorders>
          </w:tcPr>
          <w:p w14:paraId="41A940FC" w14:textId="77777777" w:rsidR="00492345" w:rsidRPr="000C70EF" w:rsidRDefault="00492345" w:rsidP="00100744">
            <w:pPr>
              <w:rPr>
                <w:b/>
                <w:bCs/>
              </w:rPr>
            </w:pPr>
            <w:r w:rsidRPr="000C70EF">
              <w:rPr>
                <w:b/>
                <w:bCs/>
              </w:rPr>
              <w:t>NTD</w:t>
            </w:r>
          </w:p>
        </w:tc>
        <w:tc>
          <w:tcPr>
            <w:tcW w:w="3323" w:type="pct"/>
            <w:gridSpan w:val="3"/>
            <w:tcBorders>
              <w:top w:val="single" w:sz="4" w:space="0" w:color="auto"/>
              <w:bottom w:val="nil"/>
            </w:tcBorders>
          </w:tcPr>
          <w:p w14:paraId="152ED48C" w14:textId="13691F59" w:rsidR="00492345" w:rsidRPr="00A925D0" w:rsidRDefault="00492345" w:rsidP="00100744">
            <w:pPr>
              <w:rPr>
                <w:b/>
                <w:bCs/>
              </w:rPr>
            </w:pPr>
            <w:r w:rsidRPr="00A925D0">
              <w:rPr>
                <w:b/>
                <w:bCs/>
              </w:rPr>
              <w:t>Monetised QALY loss prevented</w:t>
            </w:r>
            <w:r w:rsidR="00A925D0" w:rsidRPr="00A925D0">
              <w:rPr>
                <w:b/>
                <w:bCs/>
              </w:rPr>
              <w:t xml:space="preserve"> (£m </w:t>
            </w:r>
            <w:r w:rsidR="003B38EC">
              <w:rPr>
                <w:b/>
                <w:bCs/>
              </w:rPr>
              <w:t>2024</w:t>
            </w:r>
            <w:r w:rsidR="00A925D0" w:rsidRPr="00A925D0">
              <w:rPr>
                <w:b/>
                <w:bCs/>
              </w:rPr>
              <w:t>, discounted)</w:t>
            </w:r>
          </w:p>
        </w:tc>
      </w:tr>
      <w:tr w:rsidR="00492345" w14:paraId="7E28648E" w14:textId="77777777" w:rsidTr="00100744">
        <w:tc>
          <w:tcPr>
            <w:tcW w:w="1677" w:type="pct"/>
            <w:vMerge/>
            <w:tcBorders>
              <w:top w:val="nil"/>
              <w:bottom w:val="single" w:sz="4" w:space="0" w:color="auto"/>
            </w:tcBorders>
          </w:tcPr>
          <w:p w14:paraId="587AA781" w14:textId="77777777" w:rsidR="00492345" w:rsidRDefault="00492345" w:rsidP="00100744"/>
        </w:tc>
        <w:tc>
          <w:tcPr>
            <w:tcW w:w="1107" w:type="pct"/>
            <w:tcBorders>
              <w:top w:val="nil"/>
              <w:bottom w:val="single" w:sz="4" w:space="0" w:color="auto"/>
            </w:tcBorders>
          </w:tcPr>
          <w:p w14:paraId="7478EE9B" w14:textId="77777777" w:rsidR="00492345" w:rsidRPr="00A925D0" w:rsidRDefault="00492345" w:rsidP="00100744">
            <w:r w:rsidRPr="00A925D0">
              <w:t>Low</w:t>
            </w:r>
          </w:p>
        </w:tc>
        <w:tc>
          <w:tcPr>
            <w:tcW w:w="1108" w:type="pct"/>
            <w:tcBorders>
              <w:top w:val="nil"/>
              <w:bottom w:val="single" w:sz="4" w:space="0" w:color="auto"/>
            </w:tcBorders>
          </w:tcPr>
          <w:p w14:paraId="5E669BFB" w14:textId="77777777" w:rsidR="00492345" w:rsidRPr="00A925D0" w:rsidRDefault="00492345" w:rsidP="00100744">
            <w:r w:rsidRPr="00A925D0">
              <w:t>Central</w:t>
            </w:r>
          </w:p>
        </w:tc>
        <w:tc>
          <w:tcPr>
            <w:tcW w:w="1108" w:type="pct"/>
            <w:tcBorders>
              <w:top w:val="nil"/>
              <w:bottom w:val="single" w:sz="4" w:space="0" w:color="auto"/>
            </w:tcBorders>
          </w:tcPr>
          <w:p w14:paraId="217AC6C6" w14:textId="77777777" w:rsidR="00492345" w:rsidRPr="00A925D0" w:rsidRDefault="00492345" w:rsidP="00100744">
            <w:r w:rsidRPr="00A925D0">
              <w:t>High</w:t>
            </w:r>
          </w:p>
        </w:tc>
      </w:tr>
      <w:tr w:rsidR="00492345" w14:paraId="5DDEB3D0" w14:textId="77777777" w:rsidTr="00E84029">
        <w:tc>
          <w:tcPr>
            <w:tcW w:w="1677" w:type="pct"/>
            <w:tcBorders>
              <w:bottom w:val="nil"/>
            </w:tcBorders>
          </w:tcPr>
          <w:p w14:paraId="6DADEE71" w14:textId="77777777" w:rsidR="00492345" w:rsidRDefault="00492345" w:rsidP="00100744">
            <w:r>
              <w:t>Anencephaly</w:t>
            </w:r>
          </w:p>
        </w:tc>
        <w:tc>
          <w:tcPr>
            <w:tcW w:w="1107" w:type="pct"/>
            <w:tcBorders>
              <w:bottom w:val="nil"/>
            </w:tcBorders>
          </w:tcPr>
          <w:p w14:paraId="44A1463C" w14:textId="42E4654F" w:rsidR="00492345" w:rsidRDefault="00B63B3B" w:rsidP="00100744">
            <w:r>
              <w:t>3.9</w:t>
            </w:r>
          </w:p>
        </w:tc>
        <w:tc>
          <w:tcPr>
            <w:tcW w:w="1108" w:type="pct"/>
            <w:tcBorders>
              <w:bottom w:val="nil"/>
            </w:tcBorders>
          </w:tcPr>
          <w:p w14:paraId="7A1035E6" w14:textId="4F0F6895" w:rsidR="00492345" w:rsidRDefault="00D86BBD" w:rsidP="00100744">
            <w:r>
              <w:t>5.9</w:t>
            </w:r>
          </w:p>
        </w:tc>
        <w:tc>
          <w:tcPr>
            <w:tcW w:w="1108" w:type="pct"/>
            <w:tcBorders>
              <w:bottom w:val="nil"/>
            </w:tcBorders>
          </w:tcPr>
          <w:p w14:paraId="5AF0AB0B" w14:textId="1D2BF0A7" w:rsidR="00492345" w:rsidRDefault="00B367B9" w:rsidP="00100744">
            <w:r>
              <w:t>8.4</w:t>
            </w:r>
          </w:p>
        </w:tc>
      </w:tr>
      <w:tr w:rsidR="00492345" w14:paraId="3C6756ED" w14:textId="77777777" w:rsidTr="00E84029">
        <w:tc>
          <w:tcPr>
            <w:tcW w:w="1677" w:type="pct"/>
            <w:tcBorders>
              <w:top w:val="nil"/>
              <w:bottom w:val="nil"/>
            </w:tcBorders>
          </w:tcPr>
          <w:p w14:paraId="43A52534" w14:textId="77777777" w:rsidR="00492345" w:rsidRDefault="00492345" w:rsidP="00100744">
            <w:r>
              <w:t>Encephalocele</w:t>
            </w:r>
          </w:p>
        </w:tc>
        <w:tc>
          <w:tcPr>
            <w:tcW w:w="1107" w:type="pct"/>
            <w:tcBorders>
              <w:top w:val="nil"/>
              <w:bottom w:val="nil"/>
            </w:tcBorders>
          </w:tcPr>
          <w:p w14:paraId="31911249" w14:textId="39BBE5F3" w:rsidR="00492345" w:rsidRDefault="00FB7599" w:rsidP="00100744">
            <w:r>
              <w:t>7.6</w:t>
            </w:r>
          </w:p>
        </w:tc>
        <w:tc>
          <w:tcPr>
            <w:tcW w:w="1108" w:type="pct"/>
            <w:tcBorders>
              <w:top w:val="nil"/>
              <w:bottom w:val="nil"/>
            </w:tcBorders>
          </w:tcPr>
          <w:p w14:paraId="25773E8E" w14:textId="7871665A" w:rsidR="00492345" w:rsidRDefault="00D86BBD" w:rsidP="00100744">
            <w:r>
              <w:t>11.7</w:t>
            </w:r>
          </w:p>
        </w:tc>
        <w:tc>
          <w:tcPr>
            <w:tcW w:w="1108" w:type="pct"/>
            <w:tcBorders>
              <w:top w:val="nil"/>
              <w:bottom w:val="nil"/>
            </w:tcBorders>
          </w:tcPr>
          <w:p w14:paraId="6AA7A4BA" w14:textId="31708B0C" w:rsidR="00492345" w:rsidRDefault="00B367B9" w:rsidP="00100744">
            <w:r>
              <w:t>16.6</w:t>
            </w:r>
          </w:p>
        </w:tc>
      </w:tr>
      <w:tr w:rsidR="00E84029" w14:paraId="7EE4443B" w14:textId="77777777" w:rsidTr="00E84029">
        <w:tc>
          <w:tcPr>
            <w:tcW w:w="1677" w:type="pct"/>
            <w:tcBorders>
              <w:top w:val="nil"/>
              <w:bottom w:val="single" w:sz="4" w:space="0" w:color="auto"/>
            </w:tcBorders>
          </w:tcPr>
          <w:p w14:paraId="774B6621" w14:textId="161A94DB" w:rsidR="00E84029" w:rsidRDefault="00E84029" w:rsidP="00100744">
            <w:r>
              <w:t>Spina Bifida</w:t>
            </w:r>
          </w:p>
        </w:tc>
        <w:tc>
          <w:tcPr>
            <w:tcW w:w="1107" w:type="pct"/>
            <w:tcBorders>
              <w:top w:val="nil"/>
              <w:bottom w:val="single" w:sz="4" w:space="0" w:color="auto"/>
            </w:tcBorders>
          </w:tcPr>
          <w:p w14:paraId="2299E4C5" w14:textId="45932B0B" w:rsidR="00E84029" w:rsidRDefault="00FB7599" w:rsidP="00100744">
            <w:r>
              <w:t>27.3</w:t>
            </w:r>
          </w:p>
        </w:tc>
        <w:tc>
          <w:tcPr>
            <w:tcW w:w="1108" w:type="pct"/>
            <w:tcBorders>
              <w:top w:val="nil"/>
              <w:bottom w:val="single" w:sz="4" w:space="0" w:color="auto"/>
            </w:tcBorders>
          </w:tcPr>
          <w:p w14:paraId="04EA18E2" w14:textId="39E71D1D" w:rsidR="00E84029" w:rsidRDefault="00D86BBD" w:rsidP="00100744">
            <w:r>
              <w:t>41.8</w:t>
            </w:r>
          </w:p>
        </w:tc>
        <w:tc>
          <w:tcPr>
            <w:tcW w:w="1108" w:type="pct"/>
            <w:tcBorders>
              <w:top w:val="nil"/>
              <w:bottom w:val="single" w:sz="4" w:space="0" w:color="auto"/>
            </w:tcBorders>
          </w:tcPr>
          <w:p w14:paraId="23C95C3D" w14:textId="7254AC63" w:rsidR="00E84029" w:rsidRDefault="00B367B9" w:rsidP="00100744">
            <w:r>
              <w:t>59.</w:t>
            </w:r>
            <w:r w:rsidR="00E034B2">
              <w:t>5</w:t>
            </w:r>
          </w:p>
        </w:tc>
      </w:tr>
      <w:tr w:rsidR="00492345" w14:paraId="56F0EC54" w14:textId="77777777" w:rsidTr="00100744">
        <w:tc>
          <w:tcPr>
            <w:tcW w:w="1677" w:type="pct"/>
            <w:tcBorders>
              <w:top w:val="single" w:sz="4" w:space="0" w:color="auto"/>
            </w:tcBorders>
          </w:tcPr>
          <w:p w14:paraId="637E9664" w14:textId="77777777" w:rsidR="00492345" w:rsidRPr="002E1D8D" w:rsidRDefault="00492345" w:rsidP="00100744">
            <w:pPr>
              <w:rPr>
                <w:b/>
                <w:bCs/>
              </w:rPr>
            </w:pPr>
            <w:r>
              <w:rPr>
                <w:b/>
                <w:bCs/>
              </w:rPr>
              <w:t>Total</w:t>
            </w:r>
          </w:p>
        </w:tc>
        <w:tc>
          <w:tcPr>
            <w:tcW w:w="1107" w:type="pct"/>
            <w:tcBorders>
              <w:top w:val="single" w:sz="4" w:space="0" w:color="auto"/>
            </w:tcBorders>
          </w:tcPr>
          <w:p w14:paraId="0A5C616F" w14:textId="35663D6A" w:rsidR="00492345" w:rsidRPr="00856479" w:rsidRDefault="00D86BBD" w:rsidP="00100744">
            <w:pPr>
              <w:rPr>
                <w:b/>
                <w:bCs/>
              </w:rPr>
            </w:pPr>
            <w:r>
              <w:rPr>
                <w:b/>
                <w:bCs/>
              </w:rPr>
              <w:t>38.7</w:t>
            </w:r>
          </w:p>
        </w:tc>
        <w:tc>
          <w:tcPr>
            <w:tcW w:w="1108" w:type="pct"/>
            <w:tcBorders>
              <w:top w:val="single" w:sz="4" w:space="0" w:color="auto"/>
            </w:tcBorders>
          </w:tcPr>
          <w:p w14:paraId="15129068" w14:textId="20BEFBAA" w:rsidR="00492345" w:rsidRPr="00856479" w:rsidRDefault="0094130B" w:rsidP="00100744">
            <w:pPr>
              <w:rPr>
                <w:b/>
                <w:bCs/>
              </w:rPr>
            </w:pPr>
            <w:r>
              <w:rPr>
                <w:b/>
                <w:bCs/>
              </w:rPr>
              <w:t>59.4</w:t>
            </w:r>
          </w:p>
        </w:tc>
        <w:tc>
          <w:tcPr>
            <w:tcW w:w="1108" w:type="pct"/>
            <w:tcBorders>
              <w:top w:val="single" w:sz="4" w:space="0" w:color="auto"/>
            </w:tcBorders>
          </w:tcPr>
          <w:p w14:paraId="043A9849" w14:textId="59C97A0E" w:rsidR="00492345" w:rsidRPr="00856479" w:rsidRDefault="00372971" w:rsidP="00100744">
            <w:pPr>
              <w:rPr>
                <w:b/>
                <w:bCs/>
              </w:rPr>
            </w:pPr>
            <w:r>
              <w:rPr>
                <w:b/>
                <w:bCs/>
              </w:rPr>
              <w:t>84.5</w:t>
            </w:r>
          </w:p>
        </w:tc>
      </w:tr>
    </w:tbl>
    <w:p w14:paraId="73A73B1D" w14:textId="77777777" w:rsidR="00492345" w:rsidRDefault="00492345" w:rsidP="00492345"/>
    <w:p w14:paraId="4AEA0BDC" w14:textId="1CC7C21B" w:rsidR="00492345" w:rsidRDefault="60A8E8B3" w:rsidP="005D011F">
      <w:pPr>
        <w:pStyle w:val="Heading3"/>
      </w:pPr>
      <w:r>
        <w:t>NHS costs savings of reducing the number of people living with NTDs</w:t>
      </w:r>
    </w:p>
    <w:p w14:paraId="0FD5C945" w14:textId="77777777" w:rsidR="00492345" w:rsidRDefault="00492345" w:rsidP="00492345">
      <w:r>
        <w:t>DHSC has undertaken a literature review on the cost estimates to healthcare systems of NTD treatment costs. Many of these were based on the US healthcare system, which is very different from that of the UK and therefore these sources were not deemed appropriate. One study from Europe was identified, and none from the UK. This European study offered a comprehensive account of the treatment costs of NTDs, both in and out of hospital.</w:t>
      </w:r>
    </w:p>
    <w:p w14:paraId="17972772" w14:textId="77777777" w:rsidR="00492345" w:rsidRDefault="00492345" w:rsidP="00492345"/>
    <w:p w14:paraId="1CD10FEA" w14:textId="24D7474E" w:rsidR="00492345" w:rsidRDefault="00000000" w:rsidP="00492345">
      <w:hyperlink r:id="rId21" w:history="1">
        <w:r w:rsidR="00492345" w:rsidRPr="00A535F2">
          <w:rPr>
            <w:rStyle w:val="Hyperlink"/>
            <w:rFonts w:cstheme="minorBidi"/>
            <w:color w:val="0070C0"/>
          </w:rPr>
          <w:t>Bowles et al (2014)</w:t>
        </w:r>
      </w:hyperlink>
      <w:r w:rsidR="00492345">
        <w:t xml:space="preserve"> investigate the economic burden of NTDs in </w:t>
      </w:r>
      <w:r w:rsidR="00E10937">
        <w:t>Germany and</w:t>
      </w:r>
      <w:r w:rsidR="00492345">
        <w:t xml:space="preserve"> found that the average annual healthcare expenditure per person with Spina Bifida was €</w:t>
      </w:r>
      <w:r w:rsidR="00994B2E">
        <w:t>3,032 (in 2014 prices)</w:t>
      </w:r>
      <w:r w:rsidR="00492345">
        <w:t>. This includes the cost of in- and outpatient care, GP care, rehab, medication and medical aids.</w:t>
      </w:r>
      <w:r w:rsidR="00700C81">
        <w:t xml:space="preserve"> This is the incremental cost, over and above standardised healthcare costs calculated by Bowles et al.</w:t>
      </w:r>
    </w:p>
    <w:p w14:paraId="1B5C5322" w14:textId="77777777" w:rsidR="00492345" w:rsidRDefault="00492345" w:rsidP="00492345"/>
    <w:p w14:paraId="3FEE11FF" w14:textId="19258EC7" w:rsidR="00492345" w:rsidRDefault="00492345" w:rsidP="00492345">
      <w:pPr>
        <w:rPr>
          <w:rFonts w:cstheme="minorHAnsi"/>
        </w:rPr>
      </w:pPr>
      <w:r>
        <w:t>No (</w:t>
      </w:r>
      <w:r w:rsidRPr="00930211">
        <w:t>European) studies looked specifically at the costs of Encephalocele, so for the purpose of this analysis we assume that these costs are identical to those of Spina Bifida</w:t>
      </w:r>
      <w:r w:rsidR="00F53391" w:rsidRPr="00930211">
        <w:t xml:space="preserve"> (A8)</w:t>
      </w:r>
      <w:r w:rsidRPr="00930211">
        <w:t>. For the treatment costs of Anencephaly</w:t>
      </w:r>
      <w:r>
        <w:t xml:space="preserve">, DHSC proposes using the findings from a US study (see </w:t>
      </w:r>
      <w:hyperlink r:id="rId22" w:history="1">
        <w:r w:rsidRPr="00A535F2">
          <w:rPr>
            <w:rStyle w:val="Hyperlink"/>
            <w:rFonts w:cstheme="minorBidi"/>
            <w:color w:val="0070C0"/>
          </w:rPr>
          <w:t>Yi et al, 2011</w:t>
        </w:r>
      </w:hyperlink>
      <w:r>
        <w:t>). This study finds that the average annual cost was</w:t>
      </w:r>
      <w:r w:rsidR="00003E19">
        <w:t xml:space="preserve"> €3,131</w:t>
      </w:r>
      <w:r w:rsidR="002C58EE">
        <w:t xml:space="preserve"> (in 2011 prices) </w:t>
      </w:r>
      <w:r>
        <w:t>and was only study of its kind investigating costs of Anencephaly. Due to the differences in healthcare systems</w:t>
      </w:r>
      <w:r w:rsidR="0058605C">
        <w:t xml:space="preserve"> (and systematically higher prices in the US healthcare system)</w:t>
      </w:r>
      <w:r>
        <w:t>, this cost was downscaled</w:t>
      </w:r>
      <w:r w:rsidRPr="00BB4331">
        <w:rPr>
          <w:rFonts w:cstheme="minorHAnsi"/>
        </w:rPr>
        <w:t>.</w:t>
      </w:r>
      <w:r w:rsidRPr="00BB4331">
        <w:rPr>
          <w:rStyle w:val="FootnoteReference"/>
          <w:rFonts w:asciiTheme="minorHAnsi" w:hAnsiTheme="minorHAnsi" w:cstheme="minorHAnsi"/>
        </w:rPr>
        <w:footnoteReference w:id="11"/>
      </w:r>
      <w:r>
        <w:rPr>
          <w:rFonts w:cstheme="minorHAnsi"/>
        </w:rPr>
        <w:t xml:space="preserve"> The </w:t>
      </w:r>
      <w:r w:rsidR="00253D77">
        <w:rPr>
          <w:rFonts w:cstheme="minorHAnsi"/>
        </w:rPr>
        <w:t xml:space="preserve">incremental </w:t>
      </w:r>
      <w:r>
        <w:rPr>
          <w:rFonts w:cstheme="minorHAnsi"/>
        </w:rPr>
        <w:t>healthcare costs of Anencephaly are lower because patients with this condition typically pass away within minutes</w:t>
      </w:r>
      <w:r w:rsidR="004F3226">
        <w:rPr>
          <w:rFonts w:cstheme="minorHAnsi"/>
        </w:rPr>
        <w:t xml:space="preserve">, </w:t>
      </w:r>
      <w:r>
        <w:rPr>
          <w:rFonts w:cstheme="minorHAnsi"/>
        </w:rPr>
        <w:t xml:space="preserve">hours </w:t>
      </w:r>
      <w:r w:rsidR="004F3226">
        <w:rPr>
          <w:rFonts w:cstheme="minorHAnsi"/>
        </w:rPr>
        <w:t xml:space="preserve">or days </w:t>
      </w:r>
      <w:r>
        <w:rPr>
          <w:rFonts w:cstheme="minorHAnsi"/>
        </w:rPr>
        <w:t>of being born.</w:t>
      </w:r>
    </w:p>
    <w:p w14:paraId="2B354AE4" w14:textId="77777777" w:rsidR="00492345" w:rsidRDefault="00492345" w:rsidP="00492345">
      <w:pPr>
        <w:rPr>
          <w:rFonts w:cstheme="minorHAnsi"/>
        </w:rPr>
      </w:pPr>
    </w:p>
    <w:p w14:paraId="3686CBD8" w14:textId="50EF1D3A" w:rsidR="00492345" w:rsidRDefault="00492345" w:rsidP="00492345">
      <w:pPr>
        <w:rPr>
          <w:rFonts w:cstheme="minorHAnsi"/>
        </w:rPr>
      </w:pPr>
      <w:r>
        <w:rPr>
          <w:rFonts w:cstheme="minorHAnsi"/>
        </w:rPr>
        <w:t xml:space="preserve">Applying this annual cost to the number of reduced NTD cases in each of the 10 cohorts, </w:t>
      </w:r>
      <w:r w:rsidR="0058605C">
        <w:rPr>
          <w:rFonts w:cstheme="minorHAnsi"/>
        </w:rPr>
        <w:t xml:space="preserve">and applying </w:t>
      </w:r>
      <w:r w:rsidR="00A974BD">
        <w:rPr>
          <w:rFonts w:cstheme="minorHAnsi"/>
        </w:rPr>
        <w:t xml:space="preserve">a GDP inflator and </w:t>
      </w:r>
      <w:r w:rsidR="001C2CFB">
        <w:rPr>
          <w:rFonts w:cstheme="minorHAnsi"/>
        </w:rPr>
        <w:t xml:space="preserve">exchange rates </w:t>
      </w:r>
      <w:r w:rsidR="00A974BD">
        <w:rPr>
          <w:rFonts w:cstheme="minorHAnsi"/>
        </w:rPr>
        <w:t xml:space="preserve">to express in prices in </w:t>
      </w:r>
      <w:r w:rsidR="001C2CFB">
        <w:rPr>
          <w:rFonts w:cstheme="minorHAnsi"/>
        </w:rPr>
        <w:t>£</w:t>
      </w:r>
      <w:r w:rsidR="00A974BD">
        <w:rPr>
          <w:rFonts w:cstheme="minorHAnsi"/>
        </w:rPr>
        <w:t>2024 terms</w:t>
      </w:r>
      <w:r w:rsidR="001C2CFB">
        <w:rPr>
          <w:rFonts w:cstheme="minorHAnsi"/>
        </w:rPr>
        <w:t>,</w:t>
      </w:r>
      <w:r w:rsidR="00A974BD">
        <w:rPr>
          <w:rFonts w:cstheme="minorHAnsi"/>
        </w:rPr>
        <w:t xml:space="preserve"> </w:t>
      </w:r>
      <w:r>
        <w:rPr>
          <w:rFonts w:cstheme="minorHAnsi"/>
        </w:rPr>
        <w:t xml:space="preserve">we obtain a total healthcare cost saving </w:t>
      </w:r>
      <w:r w:rsidR="00D359E1">
        <w:rPr>
          <w:rFonts w:cstheme="minorHAnsi"/>
        </w:rPr>
        <w:t xml:space="preserve">present value </w:t>
      </w:r>
      <w:r w:rsidRPr="00D359E1">
        <w:rPr>
          <w:rFonts w:cstheme="minorHAnsi"/>
        </w:rPr>
        <w:t>of £</w:t>
      </w:r>
      <w:r w:rsidR="00BC1837">
        <w:rPr>
          <w:rFonts w:cstheme="minorHAnsi"/>
        </w:rPr>
        <w:t>2.0</w:t>
      </w:r>
      <w:r w:rsidRPr="00D359E1">
        <w:rPr>
          <w:rFonts w:cstheme="minorHAnsi"/>
        </w:rPr>
        <w:t>m (20</w:t>
      </w:r>
      <w:r w:rsidR="00BC1837">
        <w:rPr>
          <w:rFonts w:cstheme="minorHAnsi"/>
        </w:rPr>
        <w:t>24</w:t>
      </w:r>
      <w:r>
        <w:rPr>
          <w:rFonts w:cstheme="minorHAnsi"/>
        </w:rPr>
        <w:t xml:space="preserve"> prices).</w:t>
      </w:r>
    </w:p>
    <w:p w14:paraId="513E2C6C" w14:textId="03E3658D" w:rsidR="00492345" w:rsidRPr="002841BB" w:rsidRDefault="00492345" w:rsidP="00492345">
      <w:pPr>
        <w:rPr>
          <w:rFonts w:cstheme="minorHAnsi"/>
          <w:color w:val="276944" w:themeColor="accent2"/>
        </w:rPr>
      </w:pPr>
    </w:p>
    <w:p w14:paraId="31A388F3" w14:textId="265A6524" w:rsidR="00745280" w:rsidRPr="00A535F2" w:rsidRDefault="00745280" w:rsidP="00745280">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13</w:t>
      </w:r>
      <w:r w:rsidR="00000F90" w:rsidRPr="00A535F2">
        <w:rPr>
          <w:noProof/>
          <w:color w:val="auto"/>
        </w:rPr>
        <w:fldChar w:fldCharType="end"/>
      </w:r>
      <w:r w:rsidRPr="00A535F2">
        <w:rPr>
          <w:color w:val="auto"/>
        </w:rPr>
        <w:t>. Central NHS cost savings due to the reduced number of people living with NTDs</w:t>
      </w:r>
    </w:p>
    <w:tbl>
      <w:tblPr>
        <w:tblStyle w:val="TableGrid"/>
        <w:tblW w:w="0" w:type="auto"/>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34"/>
        <w:gridCol w:w="2434"/>
        <w:gridCol w:w="2434"/>
        <w:gridCol w:w="2434"/>
      </w:tblGrid>
      <w:tr w:rsidR="00492345" w14:paraId="2F12DC9F" w14:textId="77777777" w:rsidTr="00100744">
        <w:tc>
          <w:tcPr>
            <w:tcW w:w="2434" w:type="dxa"/>
            <w:vMerge w:val="restart"/>
            <w:tcBorders>
              <w:top w:val="single" w:sz="4" w:space="0" w:color="auto"/>
              <w:bottom w:val="nil"/>
            </w:tcBorders>
          </w:tcPr>
          <w:p w14:paraId="593B1F26" w14:textId="77777777" w:rsidR="00492345" w:rsidRPr="006B620C" w:rsidRDefault="00492345" w:rsidP="00100744">
            <w:pPr>
              <w:rPr>
                <w:b/>
                <w:bCs/>
              </w:rPr>
            </w:pPr>
            <w:r w:rsidRPr="006B620C">
              <w:rPr>
                <w:b/>
                <w:bCs/>
              </w:rPr>
              <w:t>NTD</w:t>
            </w:r>
          </w:p>
        </w:tc>
        <w:tc>
          <w:tcPr>
            <w:tcW w:w="2434" w:type="dxa"/>
            <w:vMerge w:val="restart"/>
            <w:tcBorders>
              <w:top w:val="single" w:sz="4" w:space="0" w:color="auto"/>
              <w:bottom w:val="nil"/>
            </w:tcBorders>
          </w:tcPr>
          <w:p w14:paraId="4C26CE92" w14:textId="77777777" w:rsidR="00492345" w:rsidRPr="006B620C" w:rsidRDefault="00492345" w:rsidP="00100744">
            <w:pPr>
              <w:rPr>
                <w:b/>
                <w:bCs/>
              </w:rPr>
            </w:pPr>
            <w:r>
              <w:rPr>
                <w:b/>
                <w:bCs/>
              </w:rPr>
              <w:t>Estimated reduction in</w:t>
            </w:r>
            <w:r w:rsidRPr="006B620C">
              <w:rPr>
                <w:b/>
                <w:bCs/>
              </w:rPr>
              <w:t xml:space="preserve"> NTD live births per year</w:t>
            </w:r>
          </w:p>
        </w:tc>
        <w:tc>
          <w:tcPr>
            <w:tcW w:w="2434" w:type="dxa"/>
            <w:tcBorders>
              <w:top w:val="single" w:sz="4" w:space="0" w:color="auto"/>
              <w:bottom w:val="nil"/>
            </w:tcBorders>
          </w:tcPr>
          <w:p w14:paraId="07CF81BF" w14:textId="43CA7AF7" w:rsidR="00492345" w:rsidRPr="006B620C" w:rsidRDefault="00445B8A" w:rsidP="00100744">
            <w:pPr>
              <w:rPr>
                <w:b/>
                <w:bCs/>
              </w:rPr>
            </w:pPr>
            <w:r>
              <w:rPr>
                <w:b/>
                <w:bCs/>
              </w:rPr>
              <w:t>Estimated a</w:t>
            </w:r>
            <w:r w:rsidR="00492345" w:rsidRPr="006B620C">
              <w:rPr>
                <w:b/>
                <w:bCs/>
              </w:rPr>
              <w:t>nnual treatment costs per patient</w:t>
            </w:r>
          </w:p>
        </w:tc>
        <w:tc>
          <w:tcPr>
            <w:tcW w:w="2434" w:type="dxa"/>
            <w:tcBorders>
              <w:top w:val="single" w:sz="4" w:space="0" w:color="auto"/>
              <w:bottom w:val="nil"/>
            </w:tcBorders>
          </w:tcPr>
          <w:p w14:paraId="3EB13389" w14:textId="77777777" w:rsidR="00492345" w:rsidRPr="006B620C" w:rsidRDefault="00492345" w:rsidP="00100744">
            <w:pPr>
              <w:rPr>
                <w:b/>
                <w:bCs/>
              </w:rPr>
            </w:pPr>
            <w:r w:rsidRPr="006B620C">
              <w:rPr>
                <w:b/>
                <w:bCs/>
              </w:rPr>
              <w:t>Total discounted lifetime cost savings</w:t>
            </w:r>
          </w:p>
        </w:tc>
      </w:tr>
      <w:tr w:rsidR="00492345" w14:paraId="4C88B87B" w14:textId="77777777" w:rsidTr="00100744">
        <w:tc>
          <w:tcPr>
            <w:tcW w:w="2434" w:type="dxa"/>
            <w:vMerge/>
            <w:tcBorders>
              <w:top w:val="nil"/>
              <w:bottom w:val="single" w:sz="4" w:space="0" w:color="auto"/>
            </w:tcBorders>
          </w:tcPr>
          <w:p w14:paraId="01A68F0A" w14:textId="77777777" w:rsidR="00492345" w:rsidRPr="006B620C" w:rsidRDefault="00492345" w:rsidP="00100744">
            <w:pPr>
              <w:rPr>
                <w:b/>
                <w:bCs/>
              </w:rPr>
            </w:pPr>
          </w:p>
        </w:tc>
        <w:tc>
          <w:tcPr>
            <w:tcW w:w="2434" w:type="dxa"/>
            <w:vMerge/>
            <w:tcBorders>
              <w:top w:val="nil"/>
              <w:bottom w:val="single" w:sz="4" w:space="0" w:color="auto"/>
            </w:tcBorders>
          </w:tcPr>
          <w:p w14:paraId="6DCA2CDA" w14:textId="77777777" w:rsidR="00492345" w:rsidRPr="006B620C" w:rsidRDefault="00492345" w:rsidP="00100744">
            <w:pPr>
              <w:rPr>
                <w:b/>
                <w:bCs/>
              </w:rPr>
            </w:pPr>
          </w:p>
        </w:tc>
        <w:tc>
          <w:tcPr>
            <w:tcW w:w="2434" w:type="dxa"/>
            <w:tcBorders>
              <w:top w:val="nil"/>
              <w:bottom w:val="single" w:sz="4" w:space="0" w:color="auto"/>
            </w:tcBorders>
          </w:tcPr>
          <w:p w14:paraId="00278636" w14:textId="155525C0" w:rsidR="00492345" w:rsidRPr="00A7757B" w:rsidRDefault="000E1EA0" w:rsidP="00100744">
            <w:pPr>
              <w:rPr>
                <w:sz w:val="20"/>
                <w:szCs w:val="20"/>
              </w:rPr>
            </w:pPr>
            <w:r>
              <w:rPr>
                <w:sz w:val="20"/>
                <w:szCs w:val="20"/>
              </w:rPr>
              <w:t>2024</w:t>
            </w:r>
            <w:r w:rsidRPr="00A7757B">
              <w:rPr>
                <w:sz w:val="20"/>
                <w:szCs w:val="20"/>
              </w:rPr>
              <w:t xml:space="preserve"> </w:t>
            </w:r>
            <w:r w:rsidR="00492345" w:rsidRPr="00A7757B">
              <w:rPr>
                <w:sz w:val="20"/>
                <w:szCs w:val="20"/>
              </w:rPr>
              <w:t>prices</w:t>
            </w:r>
          </w:p>
        </w:tc>
        <w:tc>
          <w:tcPr>
            <w:tcW w:w="2434" w:type="dxa"/>
            <w:tcBorders>
              <w:top w:val="nil"/>
              <w:bottom w:val="single" w:sz="4" w:space="0" w:color="auto"/>
            </w:tcBorders>
          </w:tcPr>
          <w:p w14:paraId="07546A90" w14:textId="28683B87" w:rsidR="00492345" w:rsidRPr="00A7757B" w:rsidRDefault="00492345" w:rsidP="00100744">
            <w:pPr>
              <w:rPr>
                <w:sz w:val="20"/>
                <w:szCs w:val="20"/>
              </w:rPr>
            </w:pPr>
            <w:r w:rsidRPr="00A7757B">
              <w:rPr>
                <w:sz w:val="20"/>
                <w:szCs w:val="20"/>
              </w:rPr>
              <w:t>20</w:t>
            </w:r>
            <w:r w:rsidR="00BC1837">
              <w:rPr>
                <w:sz w:val="20"/>
                <w:szCs w:val="20"/>
              </w:rPr>
              <w:t>24</w:t>
            </w:r>
            <w:r w:rsidRPr="00A7757B">
              <w:rPr>
                <w:sz w:val="20"/>
                <w:szCs w:val="20"/>
              </w:rPr>
              <w:t xml:space="preserve"> prices</w:t>
            </w:r>
          </w:p>
        </w:tc>
      </w:tr>
      <w:tr w:rsidR="006540BF" w14:paraId="2F0053D4" w14:textId="77777777" w:rsidTr="00100744">
        <w:tc>
          <w:tcPr>
            <w:tcW w:w="2434" w:type="dxa"/>
            <w:tcBorders>
              <w:bottom w:val="nil"/>
            </w:tcBorders>
          </w:tcPr>
          <w:p w14:paraId="28569B0C" w14:textId="5027BA72" w:rsidR="006540BF" w:rsidRDefault="006540BF" w:rsidP="006540BF">
            <w:r>
              <w:t>Anencephaly</w:t>
            </w:r>
          </w:p>
        </w:tc>
        <w:tc>
          <w:tcPr>
            <w:tcW w:w="2434" w:type="dxa"/>
            <w:tcBorders>
              <w:bottom w:val="nil"/>
            </w:tcBorders>
          </w:tcPr>
          <w:p w14:paraId="1D86E5C4" w14:textId="1F288201" w:rsidR="006540BF" w:rsidRPr="00A71AEE" w:rsidRDefault="006540BF" w:rsidP="006540BF">
            <w:r w:rsidRPr="00D47F96">
              <w:t>0.189</w:t>
            </w:r>
          </w:p>
        </w:tc>
        <w:tc>
          <w:tcPr>
            <w:tcW w:w="2434" w:type="dxa"/>
            <w:tcBorders>
              <w:bottom w:val="nil"/>
            </w:tcBorders>
          </w:tcPr>
          <w:p w14:paraId="5B2951D7" w14:textId="31E03487" w:rsidR="006540BF" w:rsidRDefault="006540BF" w:rsidP="006540BF">
            <w:r>
              <w:t>£</w:t>
            </w:r>
            <w:r w:rsidR="000E1EA0">
              <w:t>962</w:t>
            </w:r>
          </w:p>
        </w:tc>
        <w:tc>
          <w:tcPr>
            <w:tcW w:w="2434" w:type="dxa"/>
            <w:tcBorders>
              <w:bottom w:val="nil"/>
            </w:tcBorders>
          </w:tcPr>
          <w:p w14:paraId="5B358370" w14:textId="374E28D1" w:rsidR="006540BF" w:rsidRDefault="006540BF" w:rsidP="006540BF">
            <w:r>
              <w:t>£0.0m</w:t>
            </w:r>
          </w:p>
        </w:tc>
      </w:tr>
      <w:tr w:rsidR="006540BF" w14:paraId="1ACCEE77" w14:textId="77777777" w:rsidTr="00100744">
        <w:tc>
          <w:tcPr>
            <w:tcW w:w="2434" w:type="dxa"/>
            <w:tcBorders>
              <w:bottom w:val="nil"/>
            </w:tcBorders>
          </w:tcPr>
          <w:p w14:paraId="2FC81726" w14:textId="01FACA45" w:rsidR="006540BF" w:rsidRDefault="006540BF" w:rsidP="006540BF">
            <w:r>
              <w:t>Encephalocele</w:t>
            </w:r>
          </w:p>
        </w:tc>
        <w:tc>
          <w:tcPr>
            <w:tcW w:w="2434" w:type="dxa"/>
            <w:tcBorders>
              <w:bottom w:val="nil"/>
            </w:tcBorders>
          </w:tcPr>
          <w:p w14:paraId="2A2CCCA5" w14:textId="0D2E631B" w:rsidR="006540BF" w:rsidRPr="00A71AEE" w:rsidRDefault="006540BF" w:rsidP="006540BF">
            <w:r w:rsidRPr="00A71AEE">
              <w:t>0.643</w:t>
            </w:r>
          </w:p>
        </w:tc>
        <w:tc>
          <w:tcPr>
            <w:tcW w:w="2434" w:type="dxa"/>
            <w:tcBorders>
              <w:bottom w:val="nil"/>
            </w:tcBorders>
          </w:tcPr>
          <w:p w14:paraId="13B3A67E" w14:textId="014BF5BD" w:rsidR="006540BF" w:rsidRDefault="006540BF" w:rsidP="006540BF">
            <w:r>
              <w:t>£</w:t>
            </w:r>
            <w:r w:rsidR="003B2C39">
              <w:t>3,481</w:t>
            </w:r>
          </w:p>
        </w:tc>
        <w:tc>
          <w:tcPr>
            <w:tcW w:w="2434" w:type="dxa"/>
            <w:tcBorders>
              <w:bottom w:val="nil"/>
            </w:tcBorders>
          </w:tcPr>
          <w:p w14:paraId="6E06ED5D" w14:textId="61775DC7" w:rsidR="006540BF" w:rsidRDefault="006540BF" w:rsidP="006540BF">
            <w:r>
              <w:t>£0.4m</w:t>
            </w:r>
          </w:p>
        </w:tc>
      </w:tr>
      <w:tr w:rsidR="006540BF" w14:paraId="15E87F7E" w14:textId="77777777" w:rsidTr="00100744">
        <w:tc>
          <w:tcPr>
            <w:tcW w:w="2434" w:type="dxa"/>
            <w:tcBorders>
              <w:top w:val="nil"/>
              <w:bottom w:val="single" w:sz="4" w:space="0" w:color="auto"/>
            </w:tcBorders>
          </w:tcPr>
          <w:p w14:paraId="1991B352" w14:textId="44E1DF49" w:rsidR="006540BF" w:rsidRDefault="006540BF" w:rsidP="006540BF">
            <w:r>
              <w:t>Spina Bifida</w:t>
            </w:r>
          </w:p>
        </w:tc>
        <w:tc>
          <w:tcPr>
            <w:tcW w:w="2434" w:type="dxa"/>
            <w:tcBorders>
              <w:top w:val="nil"/>
              <w:bottom w:val="single" w:sz="4" w:space="0" w:color="auto"/>
            </w:tcBorders>
          </w:tcPr>
          <w:p w14:paraId="0598FDD3" w14:textId="283FD441" w:rsidR="006540BF" w:rsidRDefault="006540BF" w:rsidP="006540BF">
            <w:r w:rsidRPr="00A71AEE">
              <w:t>2.31</w:t>
            </w:r>
          </w:p>
        </w:tc>
        <w:tc>
          <w:tcPr>
            <w:tcW w:w="2434" w:type="dxa"/>
            <w:tcBorders>
              <w:top w:val="nil"/>
              <w:bottom w:val="single" w:sz="4" w:space="0" w:color="auto"/>
            </w:tcBorders>
          </w:tcPr>
          <w:p w14:paraId="594E417F" w14:textId="785C7815" w:rsidR="006540BF" w:rsidRDefault="006540BF" w:rsidP="006540BF">
            <w:r>
              <w:t>£</w:t>
            </w:r>
            <w:r w:rsidR="003B2C39">
              <w:t>3,481</w:t>
            </w:r>
            <w:r>
              <w:t>2,882</w:t>
            </w:r>
          </w:p>
        </w:tc>
        <w:tc>
          <w:tcPr>
            <w:tcW w:w="2434" w:type="dxa"/>
            <w:tcBorders>
              <w:top w:val="nil"/>
              <w:bottom w:val="single" w:sz="4" w:space="0" w:color="auto"/>
            </w:tcBorders>
          </w:tcPr>
          <w:p w14:paraId="2A3387AB" w14:textId="61072FAA" w:rsidR="006540BF" w:rsidRDefault="006540BF" w:rsidP="006540BF">
            <w:r>
              <w:t>£1.</w:t>
            </w:r>
            <w:r w:rsidR="002E5F75">
              <w:t>6</w:t>
            </w:r>
            <w:r>
              <w:t>m</w:t>
            </w:r>
          </w:p>
        </w:tc>
      </w:tr>
      <w:tr w:rsidR="00492345" w14:paraId="174EA094" w14:textId="77777777" w:rsidTr="00100744">
        <w:tc>
          <w:tcPr>
            <w:tcW w:w="2434" w:type="dxa"/>
            <w:tcBorders>
              <w:top w:val="single" w:sz="4" w:space="0" w:color="auto"/>
            </w:tcBorders>
          </w:tcPr>
          <w:p w14:paraId="136FCC7C" w14:textId="77777777" w:rsidR="00492345" w:rsidRPr="006B620C" w:rsidRDefault="00492345" w:rsidP="00100744">
            <w:pPr>
              <w:rPr>
                <w:b/>
                <w:bCs/>
              </w:rPr>
            </w:pPr>
            <w:r w:rsidRPr="006B620C">
              <w:rPr>
                <w:b/>
                <w:bCs/>
              </w:rPr>
              <w:t>Total</w:t>
            </w:r>
          </w:p>
        </w:tc>
        <w:tc>
          <w:tcPr>
            <w:tcW w:w="2434" w:type="dxa"/>
            <w:tcBorders>
              <w:top w:val="single" w:sz="4" w:space="0" w:color="auto"/>
            </w:tcBorders>
          </w:tcPr>
          <w:p w14:paraId="43045E01" w14:textId="454C0DCC" w:rsidR="00492345" w:rsidRPr="006B620C" w:rsidRDefault="00A71AEE" w:rsidP="00100744">
            <w:pPr>
              <w:rPr>
                <w:b/>
                <w:bCs/>
              </w:rPr>
            </w:pPr>
            <w:r w:rsidRPr="00A71AEE">
              <w:rPr>
                <w:b/>
                <w:bCs/>
              </w:rPr>
              <w:t>3.14</w:t>
            </w:r>
          </w:p>
        </w:tc>
        <w:tc>
          <w:tcPr>
            <w:tcW w:w="2434" w:type="dxa"/>
            <w:tcBorders>
              <w:top w:val="single" w:sz="4" w:space="0" w:color="auto"/>
            </w:tcBorders>
          </w:tcPr>
          <w:p w14:paraId="1997259B" w14:textId="7B6F3697" w:rsidR="00492345" w:rsidRPr="006B620C" w:rsidRDefault="00721EA7" w:rsidP="00100744">
            <w:pPr>
              <w:rPr>
                <w:b/>
                <w:bCs/>
              </w:rPr>
            </w:pPr>
            <w:r>
              <w:rPr>
                <w:b/>
                <w:bCs/>
              </w:rPr>
              <w:t>..</w:t>
            </w:r>
          </w:p>
        </w:tc>
        <w:tc>
          <w:tcPr>
            <w:tcW w:w="2434" w:type="dxa"/>
            <w:tcBorders>
              <w:top w:val="single" w:sz="4" w:space="0" w:color="auto"/>
            </w:tcBorders>
          </w:tcPr>
          <w:p w14:paraId="568A6B99" w14:textId="01D9A752" w:rsidR="00492345" w:rsidRPr="006B620C" w:rsidRDefault="00C000B1" w:rsidP="00100744">
            <w:pPr>
              <w:rPr>
                <w:b/>
                <w:bCs/>
              </w:rPr>
            </w:pPr>
            <w:r>
              <w:rPr>
                <w:b/>
                <w:bCs/>
              </w:rPr>
              <w:t>£</w:t>
            </w:r>
            <w:r w:rsidR="00BC1837">
              <w:rPr>
                <w:b/>
                <w:bCs/>
              </w:rPr>
              <w:t>2.0m</w:t>
            </w:r>
          </w:p>
        </w:tc>
      </w:tr>
    </w:tbl>
    <w:p w14:paraId="3E7318FE" w14:textId="77777777" w:rsidR="00492345" w:rsidRPr="009E07D7" w:rsidRDefault="00492345" w:rsidP="00492345">
      <w:pPr>
        <w:jc w:val="right"/>
        <w:rPr>
          <w:sz w:val="20"/>
          <w:szCs w:val="20"/>
        </w:rPr>
      </w:pPr>
      <w:r w:rsidRPr="009E07D7">
        <w:rPr>
          <w:sz w:val="20"/>
          <w:szCs w:val="20"/>
        </w:rPr>
        <w:t>Source: DHSC and FSS calculations using data from Bowles et al (2011) and Yi et al (2014).</w:t>
      </w:r>
    </w:p>
    <w:p w14:paraId="6092B033" w14:textId="77777777" w:rsidR="00492345" w:rsidRDefault="00492345" w:rsidP="00492345"/>
    <w:p w14:paraId="6AFE0216" w14:textId="4D11EDF0" w:rsidR="00492345" w:rsidRDefault="00492345" w:rsidP="00492345">
      <w:r>
        <w:t>Given the uncertainty surrounding the NTD risk reduction, we use the low and high estimates mentioned earlier to construct low and high estimates of this cost saving.</w:t>
      </w:r>
    </w:p>
    <w:p w14:paraId="2DA2F45D" w14:textId="6E1432FB" w:rsidR="00492345" w:rsidRPr="001C5521" w:rsidRDefault="00492345" w:rsidP="00492345">
      <w:pPr>
        <w:rPr>
          <w:rFonts w:cstheme="minorHAnsi"/>
          <w:color w:val="276944" w:themeColor="accent2"/>
        </w:rPr>
      </w:pPr>
    </w:p>
    <w:p w14:paraId="51213046" w14:textId="23F451EE" w:rsidR="00995976" w:rsidRPr="00A535F2" w:rsidRDefault="00995976" w:rsidP="00995976">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14</w:t>
      </w:r>
      <w:r w:rsidR="00000F90" w:rsidRPr="00A535F2">
        <w:rPr>
          <w:noProof/>
          <w:color w:val="auto"/>
        </w:rPr>
        <w:fldChar w:fldCharType="end"/>
      </w:r>
      <w:r w:rsidRPr="00A535F2">
        <w:rPr>
          <w:color w:val="auto"/>
        </w:rPr>
        <w:t xml:space="preserve">. </w:t>
      </w:r>
      <w:r w:rsidRPr="00A535F2">
        <w:rPr>
          <w:rFonts w:cstheme="minorHAnsi"/>
          <w:color w:val="auto"/>
        </w:rPr>
        <w:t>Low, central, and high NHS cost savings due to the reduced number of people living with NTDs</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250"/>
        <w:gridCol w:w="3249"/>
        <w:gridCol w:w="3247"/>
      </w:tblGrid>
      <w:tr w:rsidR="00F821C9" w14:paraId="75600CED" w14:textId="77777777" w:rsidTr="00AF1517">
        <w:tc>
          <w:tcPr>
            <w:tcW w:w="1667" w:type="pct"/>
            <w:vMerge w:val="restart"/>
            <w:tcBorders>
              <w:top w:val="single" w:sz="4" w:space="0" w:color="auto"/>
              <w:bottom w:val="nil"/>
            </w:tcBorders>
          </w:tcPr>
          <w:p w14:paraId="5F855CB0" w14:textId="77777777" w:rsidR="00F821C9" w:rsidRPr="006B620C" w:rsidRDefault="00F821C9" w:rsidP="00100744">
            <w:pPr>
              <w:rPr>
                <w:b/>
                <w:bCs/>
              </w:rPr>
            </w:pPr>
            <w:r>
              <w:rPr>
                <w:b/>
                <w:bCs/>
              </w:rPr>
              <w:t>Total N</w:t>
            </w:r>
            <w:r w:rsidRPr="006B620C">
              <w:rPr>
                <w:b/>
                <w:bCs/>
              </w:rPr>
              <w:t>TD</w:t>
            </w:r>
            <w:r>
              <w:rPr>
                <w:b/>
                <w:bCs/>
              </w:rPr>
              <w:t>s</w:t>
            </w:r>
          </w:p>
        </w:tc>
        <w:tc>
          <w:tcPr>
            <w:tcW w:w="1667" w:type="pct"/>
            <w:vMerge w:val="restart"/>
            <w:tcBorders>
              <w:top w:val="single" w:sz="4" w:space="0" w:color="auto"/>
              <w:bottom w:val="nil"/>
            </w:tcBorders>
          </w:tcPr>
          <w:p w14:paraId="1A41C207" w14:textId="77777777" w:rsidR="00F821C9" w:rsidRPr="006B620C" w:rsidRDefault="00F821C9" w:rsidP="00100744">
            <w:pPr>
              <w:rPr>
                <w:b/>
                <w:bCs/>
              </w:rPr>
            </w:pPr>
            <w:r>
              <w:rPr>
                <w:b/>
                <w:bCs/>
              </w:rPr>
              <w:t>Estimated reduction in</w:t>
            </w:r>
            <w:r w:rsidRPr="006B620C">
              <w:rPr>
                <w:b/>
                <w:bCs/>
              </w:rPr>
              <w:t xml:space="preserve"> NTD live births per year</w:t>
            </w:r>
          </w:p>
        </w:tc>
        <w:tc>
          <w:tcPr>
            <w:tcW w:w="1666" w:type="pct"/>
            <w:tcBorders>
              <w:top w:val="single" w:sz="4" w:space="0" w:color="auto"/>
              <w:bottom w:val="nil"/>
            </w:tcBorders>
          </w:tcPr>
          <w:p w14:paraId="62EE91E6" w14:textId="77777777" w:rsidR="00F821C9" w:rsidRPr="006B620C" w:rsidRDefault="00F821C9" w:rsidP="00100744">
            <w:pPr>
              <w:rPr>
                <w:b/>
                <w:bCs/>
              </w:rPr>
            </w:pPr>
            <w:r w:rsidRPr="006B620C">
              <w:rPr>
                <w:b/>
                <w:bCs/>
              </w:rPr>
              <w:t>Total discounted lifetime cost savings</w:t>
            </w:r>
          </w:p>
        </w:tc>
      </w:tr>
      <w:tr w:rsidR="00F821C9" w14:paraId="72EA9481" w14:textId="77777777" w:rsidTr="00AF1517">
        <w:tc>
          <w:tcPr>
            <w:tcW w:w="1667" w:type="pct"/>
            <w:vMerge/>
            <w:tcBorders>
              <w:top w:val="nil"/>
              <w:bottom w:val="single" w:sz="4" w:space="0" w:color="auto"/>
            </w:tcBorders>
          </w:tcPr>
          <w:p w14:paraId="00DCE147" w14:textId="77777777" w:rsidR="00F821C9" w:rsidRPr="006B620C" w:rsidRDefault="00F821C9" w:rsidP="00100744">
            <w:pPr>
              <w:rPr>
                <w:b/>
                <w:bCs/>
              </w:rPr>
            </w:pPr>
          </w:p>
        </w:tc>
        <w:tc>
          <w:tcPr>
            <w:tcW w:w="1667" w:type="pct"/>
            <w:vMerge/>
            <w:tcBorders>
              <w:top w:val="nil"/>
              <w:bottom w:val="single" w:sz="4" w:space="0" w:color="auto"/>
            </w:tcBorders>
          </w:tcPr>
          <w:p w14:paraId="34BB19F7" w14:textId="77777777" w:rsidR="00F821C9" w:rsidRPr="006B620C" w:rsidRDefault="00F821C9" w:rsidP="00100744">
            <w:pPr>
              <w:rPr>
                <w:b/>
                <w:bCs/>
              </w:rPr>
            </w:pPr>
          </w:p>
        </w:tc>
        <w:tc>
          <w:tcPr>
            <w:tcW w:w="1666" w:type="pct"/>
            <w:tcBorders>
              <w:top w:val="nil"/>
              <w:bottom w:val="single" w:sz="4" w:space="0" w:color="auto"/>
            </w:tcBorders>
          </w:tcPr>
          <w:p w14:paraId="1010E33F" w14:textId="29287EA5" w:rsidR="00F821C9" w:rsidRPr="00A7757B" w:rsidRDefault="0003636B" w:rsidP="00100744">
            <w:pPr>
              <w:rPr>
                <w:sz w:val="20"/>
                <w:szCs w:val="20"/>
              </w:rPr>
            </w:pPr>
            <w:r>
              <w:rPr>
                <w:sz w:val="20"/>
                <w:szCs w:val="20"/>
              </w:rPr>
              <w:t>2024</w:t>
            </w:r>
            <w:r w:rsidR="00F821C9" w:rsidRPr="00A7757B">
              <w:rPr>
                <w:sz w:val="20"/>
                <w:szCs w:val="20"/>
              </w:rPr>
              <w:t xml:space="preserve"> prices</w:t>
            </w:r>
          </w:p>
        </w:tc>
      </w:tr>
      <w:tr w:rsidR="00AF1517" w14:paraId="2541A478" w14:textId="77777777" w:rsidTr="00AF1517">
        <w:tc>
          <w:tcPr>
            <w:tcW w:w="1667" w:type="pct"/>
            <w:tcBorders>
              <w:top w:val="single" w:sz="4" w:space="0" w:color="auto"/>
            </w:tcBorders>
          </w:tcPr>
          <w:p w14:paraId="2C500C4B" w14:textId="77777777" w:rsidR="00AF1517" w:rsidRDefault="00AF1517" w:rsidP="00AF1517">
            <w:r>
              <w:t>Low</w:t>
            </w:r>
          </w:p>
        </w:tc>
        <w:tc>
          <w:tcPr>
            <w:tcW w:w="1667" w:type="pct"/>
            <w:tcBorders>
              <w:top w:val="single" w:sz="4" w:space="0" w:color="auto"/>
            </w:tcBorders>
          </w:tcPr>
          <w:p w14:paraId="15F45903" w14:textId="02AF6D7B" w:rsidR="00AF1517" w:rsidRDefault="00121473" w:rsidP="00AF1517">
            <w:r>
              <w:t>2.05</w:t>
            </w:r>
          </w:p>
        </w:tc>
        <w:tc>
          <w:tcPr>
            <w:tcW w:w="1666" w:type="pct"/>
            <w:tcBorders>
              <w:top w:val="single" w:sz="4" w:space="0" w:color="auto"/>
            </w:tcBorders>
          </w:tcPr>
          <w:p w14:paraId="6F6C3532" w14:textId="527E89C8" w:rsidR="00AF1517" w:rsidRDefault="000B21D7" w:rsidP="00AF1517">
            <w:r>
              <w:t>£1.</w:t>
            </w:r>
            <w:r w:rsidR="002E3853">
              <w:t>3</w:t>
            </w:r>
            <w:r>
              <w:t>m</w:t>
            </w:r>
          </w:p>
        </w:tc>
      </w:tr>
      <w:tr w:rsidR="00AF1517" w14:paraId="0C3F539F" w14:textId="77777777" w:rsidTr="00AF1517">
        <w:tc>
          <w:tcPr>
            <w:tcW w:w="1667" w:type="pct"/>
          </w:tcPr>
          <w:p w14:paraId="624F593F" w14:textId="77777777" w:rsidR="00AF1517" w:rsidRDefault="00AF1517" w:rsidP="00AF1517">
            <w:r>
              <w:t>Central</w:t>
            </w:r>
          </w:p>
        </w:tc>
        <w:tc>
          <w:tcPr>
            <w:tcW w:w="1667" w:type="pct"/>
          </w:tcPr>
          <w:p w14:paraId="191FB4EF" w14:textId="14293608" w:rsidR="00AF1517" w:rsidRDefault="00B53270" w:rsidP="00AF1517">
            <w:r>
              <w:t>3.14</w:t>
            </w:r>
          </w:p>
        </w:tc>
        <w:tc>
          <w:tcPr>
            <w:tcW w:w="1666" w:type="pct"/>
          </w:tcPr>
          <w:p w14:paraId="1E3256F9" w14:textId="5ED0B01F" w:rsidR="00AF1517" w:rsidRDefault="000B21D7" w:rsidP="00AF1517">
            <w:r>
              <w:t>£</w:t>
            </w:r>
            <w:r w:rsidR="0003636B">
              <w:t>2.0</w:t>
            </w:r>
            <w:r>
              <w:t>m</w:t>
            </w:r>
          </w:p>
        </w:tc>
      </w:tr>
      <w:tr w:rsidR="00AF1517" w14:paraId="54559B13" w14:textId="77777777" w:rsidTr="00AF1517">
        <w:tc>
          <w:tcPr>
            <w:tcW w:w="1667" w:type="pct"/>
          </w:tcPr>
          <w:p w14:paraId="7477A0F9" w14:textId="77777777" w:rsidR="00AF1517" w:rsidRDefault="00AF1517" w:rsidP="00AF1517">
            <w:r>
              <w:t>High</w:t>
            </w:r>
          </w:p>
        </w:tc>
        <w:tc>
          <w:tcPr>
            <w:tcW w:w="1667" w:type="pct"/>
          </w:tcPr>
          <w:p w14:paraId="2C6762B9" w14:textId="7122E823" w:rsidR="00AF1517" w:rsidRDefault="00D96168" w:rsidP="00AF1517">
            <w:r>
              <w:t>4.46</w:t>
            </w:r>
          </w:p>
        </w:tc>
        <w:tc>
          <w:tcPr>
            <w:tcW w:w="1666" w:type="pct"/>
          </w:tcPr>
          <w:p w14:paraId="4D29B6C6" w14:textId="175EF63D" w:rsidR="00AF1517" w:rsidRDefault="000B21D7" w:rsidP="00AF1517">
            <w:r>
              <w:t>£2.</w:t>
            </w:r>
            <w:r w:rsidR="00907847">
              <w:t>9</w:t>
            </w:r>
            <w:r>
              <w:t>m</w:t>
            </w:r>
          </w:p>
        </w:tc>
      </w:tr>
    </w:tbl>
    <w:p w14:paraId="732B1D3D" w14:textId="77777777" w:rsidR="00492345" w:rsidRDefault="00492345" w:rsidP="00492345"/>
    <w:p w14:paraId="3164F398" w14:textId="3AA1B201" w:rsidR="00995976" w:rsidRDefault="60A8E8B3" w:rsidP="005D011F">
      <w:pPr>
        <w:pStyle w:val="Heading3"/>
      </w:pPr>
      <w:r>
        <w:t>NHS costs savings of reducing the number of NTD-related terminations, miscarriages, and stillbirths</w:t>
      </w:r>
    </w:p>
    <w:p w14:paraId="49BF5720" w14:textId="10184A9A" w:rsidR="00492345" w:rsidRPr="00930211" w:rsidRDefault="00492345" w:rsidP="00492345">
      <w:r w:rsidRPr="00930211">
        <w:t>Similar to the NHS cost savings seen for the reduce</w:t>
      </w:r>
      <w:r w:rsidR="00F50491" w:rsidRPr="00930211">
        <w:t>d</w:t>
      </w:r>
      <w:r w:rsidRPr="00930211">
        <w:t xml:space="preserve"> number of people living with NTDs, we also assume </w:t>
      </w:r>
      <w:r w:rsidR="00F50491" w:rsidRPr="00930211">
        <w:t xml:space="preserve">(a) that </w:t>
      </w:r>
      <w:r w:rsidRPr="00930211">
        <w:t>there will be a reduced number of NTD-related terminations, miscarriages, and stillbirths</w:t>
      </w:r>
      <w:r w:rsidR="00F50491" w:rsidRPr="00930211">
        <w:t xml:space="preserve"> and (b) that these lead to reductions in NHS costs</w:t>
      </w:r>
      <w:r w:rsidR="00AF383A" w:rsidRPr="00930211">
        <w:t xml:space="preserve"> (A11)</w:t>
      </w:r>
      <w:r w:rsidR="00F50491" w:rsidRPr="00930211">
        <w:t>.</w:t>
      </w:r>
    </w:p>
    <w:p w14:paraId="2586E3DB" w14:textId="4796A013" w:rsidR="00492345" w:rsidRPr="00A535F2" w:rsidRDefault="60A8E8B3" w:rsidP="007B0647">
      <w:pPr>
        <w:pStyle w:val="Heading4"/>
        <w:rPr>
          <w:color w:val="auto"/>
        </w:rPr>
      </w:pPr>
      <w:r w:rsidRPr="00A535F2">
        <w:rPr>
          <w:color w:val="auto"/>
        </w:rPr>
        <w:t>Miscarriages</w:t>
      </w:r>
      <w:r w:rsidR="5D0B3051" w:rsidRPr="00A535F2">
        <w:rPr>
          <w:color w:val="auto"/>
        </w:rPr>
        <w:t xml:space="preserve"> and stillbirths</w:t>
      </w:r>
    </w:p>
    <w:p w14:paraId="37555CB5" w14:textId="5AF92A15" w:rsidR="006A0173" w:rsidRDefault="00492345" w:rsidP="00492345">
      <w:r w:rsidRPr="00930211">
        <w:t xml:space="preserve">Data on </w:t>
      </w:r>
      <w:r w:rsidR="002B6973" w:rsidRPr="00930211">
        <w:t xml:space="preserve">early </w:t>
      </w:r>
      <w:r w:rsidRPr="00930211">
        <w:rPr>
          <w:rFonts w:cstheme="minorHAnsi"/>
        </w:rPr>
        <w:t>miscarriages</w:t>
      </w:r>
      <w:r w:rsidR="002B6973" w:rsidRPr="00930211">
        <w:rPr>
          <w:rFonts w:cstheme="minorHAnsi"/>
        </w:rPr>
        <w:t xml:space="preserve"> (at &lt;20 weeks gestation)</w:t>
      </w:r>
      <w:r w:rsidRPr="00930211">
        <w:rPr>
          <w:rFonts w:cstheme="minorHAnsi"/>
        </w:rPr>
        <w:t xml:space="preserve"> </w:t>
      </w:r>
      <w:r w:rsidR="00B82AB3" w:rsidRPr="00930211">
        <w:rPr>
          <w:rFonts w:cstheme="minorHAnsi"/>
        </w:rPr>
        <w:t>w</w:t>
      </w:r>
      <w:r w:rsidRPr="00930211">
        <w:rPr>
          <w:rFonts w:cstheme="minorHAnsi"/>
        </w:rPr>
        <w:t>as</w:t>
      </w:r>
      <w:r w:rsidRPr="00930211">
        <w:t xml:space="preserve"> not available </w:t>
      </w:r>
      <w:r w:rsidR="00AA629E" w:rsidRPr="00930211">
        <w:t>from the Scottish congenital and rare condition register.</w:t>
      </w:r>
      <w:r w:rsidR="00AA629E" w:rsidRPr="00930211">
        <w:rPr>
          <w:rStyle w:val="FootnoteReference"/>
          <w:rFonts w:asciiTheme="minorHAnsi" w:hAnsiTheme="minorHAnsi" w:cstheme="minorHAnsi"/>
          <w:sz w:val="24"/>
        </w:rPr>
        <w:footnoteReference w:id="12"/>
      </w:r>
      <w:r w:rsidR="00AA629E" w:rsidRPr="00930211">
        <w:t xml:space="preserve"> In line with </w:t>
      </w:r>
      <w:r w:rsidRPr="00930211">
        <w:t>EUROCAT</w:t>
      </w:r>
      <w:r w:rsidR="00AA629E" w:rsidRPr="00930211">
        <w:t xml:space="preserve"> guidance, the register does not include babies from pregnancies ending in early miscarriage.</w:t>
      </w:r>
      <w:r w:rsidR="00CE3BB0" w:rsidRPr="00930211">
        <w:t xml:space="preserve"> W</w:t>
      </w:r>
      <w:r w:rsidRPr="00930211">
        <w:t>e approximate NTD-related miscarriages for Scotland using Welsh CARIS data</w:t>
      </w:r>
      <w:r w:rsidR="006774C1" w:rsidRPr="00930211">
        <w:t xml:space="preserve"> (A12)</w:t>
      </w:r>
      <w:r w:rsidR="00822445" w:rsidRPr="00930211">
        <w:t xml:space="preserve">. This dataset does register miscarriages </w:t>
      </w:r>
      <w:r w:rsidR="006A0173" w:rsidRPr="00930211">
        <w:t>prior to 20 weeks where there are known registerable conditions</w:t>
      </w:r>
      <w:r w:rsidR="006A0173" w:rsidRPr="00930211">
        <w:rPr>
          <w:rFonts w:cstheme="minorHAnsi"/>
        </w:rPr>
        <w:t>.</w:t>
      </w:r>
      <w:r w:rsidR="004971CE" w:rsidRPr="00930211">
        <w:rPr>
          <w:rStyle w:val="FootnoteReference"/>
          <w:rFonts w:asciiTheme="minorHAnsi" w:hAnsiTheme="minorHAnsi" w:cstheme="minorHAnsi"/>
          <w:sz w:val="24"/>
        </w:rPr>
        <w:footnoteReference w:id="13"/>
      </w:r>
      <w:r w:rsidR="0024187E" w:rsidRPr="00930211">
        <w:rPr>
          <w:rFonts w:cstheme="minorHAnsi"/>
        </w:rPr>
        <w:t xml:space="preserve"> </w:t>
      </w:r>
      <w:r w:rsidR="00A0048C" w:rsidRPr="00930211">
        <w:rPr>
          <w:rFonts w:cstheme="minorHAnsi"/>
        </w:rPr>
        <w:t>In</w:t>
      </w:r>
      <w:r w:rsidR="00A0048C" w:rsidRPr="00930211">
        <w:t xml:space="preserve"> practice </w:t>
      </w:r>
      <w:r w:rsidR="0024187E" w:rsidRPr="00930211">
        <w:t>(</w:t>
      </w:r>
      <w:r w:rsidR="00A0048C" w:rsidRPr="00930211">
        <w:t>for NTDs</w:t>
      </w:r>
      <w:r w:rsidR="0024187E" w:rsidRPr="00930211">
        <w:t>),</w:t>
      </w:r>
      <w:r w:rsidR="00A0048C" w:rsidRPr="00930211">
        <w:t xml:space="preserve"> this will generally include cases where an NTD is detected on the early booking scan</w:t>
      </w:r>
      <w:r w:rsidR="00E159C8" w:rsidRPr="00930211">
        <w:t>, after which either:</w:t>
      </w:r>
    </w:p>
    <w:p w14:paraId="32209897" w14:textId="77777777" w:rsidR="00E159C8" w:rsidRDefault="00E159C8" w:rsidP="00492345"/>
    <w:p w14:paraId="0DDF54E2" w14:textId="590A3C3F" w:rsidR="00E159C8" w:rsidRDefault="00E159C8" w:rsidP="00CC205C">
      <w:pPr>
        <w:pStyle w:val="ListParagraph"/>
        <w:numPr>
          <w:ilvl w:val="0"/>
          <w:numId w:val="17"/>
        </w:numPr>
      </w:pPr>
      <w:r>
        <w:t>the mother decides to continue with the pregnancy, but subsequently miscarries before 20 weeks gestation, or</w:t>
      </w:r>
    </w:p>
    <w:p w14:paraId="008F3857" w14:textId="5767E047" w:rsidR="00E159C8" w:rsidRDefault="009C228A" w:rsidP="00CC205C">
      <w:pPr>
        <w:pStyle w:val="ListParagraph"/>
        <w:numPr>
          <w:ilvl w:val="0"/>
          <w:numId w:val="17"/>
        </w:numPr>
      </w:pPr>
      <w:r>
        <w:t>the mother plans a termination of pregnancy but miscarries before that is carried out (again, before 20 weeks gestation)</w:t>
      </w:r>
      <w:r w:rsidR="00F32A32">
        <w:t>.</w:t>
      </w:r>
    </w:p>
    <w:p w14:paraId="27BB8CB7" w14:textId="54B5A4FA" w:rsidR="009C228A" w:rsidRDefault="009C228A" w:rsidP="00A16B65"/>
    <w:p w14:paraId="322C19B3" w14:textId="6A05BEF7" w:rsidR="00A16B65" w:rsidRDefault="00A16B65" w:rsidP="00A16B65">
      <w:r>
        <w:t>There may additionally be a small number of cases where an NTD was not detected on the early booking scan, but where the mother miscarries prior to 20 weeks gestation after which an NTD is confirmed.</w:t>
      </w:r>
    </w:p>
    <w:p w14:paraId="5573225C" w14:textId="77777777" w:rsidR="007849A0" w:rsidRDefault="007849A0" w:rsidP="00A16B65"/>
    <w:p w14:paraId="5F47700F" w14:textId="54E0449C" w:rsidR="007849A0" w:rsidRDefault="00F95E08" w:rsidP="00A16B65">
      <w:r>
        <w:t xml:space="preserve">This data will still likely </w:t>
      </w:r>
      <w:r w:rsidR="0089738B">
        <w:t>underestimate</w:t>
      </w:r>
      <w:r>
        <w:t xml:space="preserve"> the total number of early pregnancy losses with an NTD, as many early losses will have an unknown NTD status.</w:t>
      </w:r>
      <w:r w:rsidR="00FB6FB4">
        <w:t xml:space="preserve"> We make no attempt to estimate this due to the lack of data.</w:t>
      </w:r>
    </w:p>
    <w:p w14:paraId="7DB3C983" w14:textId="77777777" w:rsidR="00822445" w:rsidRDefault="00822445" w:rsidP="00492345"/>
    <w:p w14:paraId="715B1440" w14:textId="32110208" w:rsidR="00355122" w:rsidRDefault="00492345" w:rsidP="00492345">
      <w:r>
        <w:t>Th</w:t>
      </w:r>
      <w:r w:rsidR="00B14805">
        <w:t>e</w:t>
      </w:r>
      <w:r>
        <w:t xml:space="preserve"> prevalence </w:t>
      </w:r>
      <w:r w:rsidR="00B14805">
        <w:t xml:space="preserve">of NTD-related miscarriages in Wales </w:t>
      </w:r>
      <w:r w:rsidR="00A740B2">
        <w:t xml:space="preserve">(0.47 per 10,000 births, </w:t>
      </w:r>
      <w:r w:rsidR="008C65BD">
        <w:t>an average</w:t>
      </w:r>
      <w:r w:rsidR="00A740B2">
        <w:t xml:space="preserve"> over 1998-2021) </w:t>
      </w:r>
      <w:r w:rsidR="00B14805">
        <w:t>are scaled up</w:t>
      </w:r>
      <w:r>
        <w:t xml:space="preserve"> to </w:t>
      </w:r>
      <w:hyperlink r:id="rId23" w:history="1">
        <w:r w:rsidRPr="00A535F2">
          <w:rPr>
            <w:rStyle w:val="Hyperlink"/>
            <w:rFonts w:cstheme="minorBidi"/>
            <w:color w:val="0070C0"/>
          </w:rPr>
          <w:t>total Scottish birth figures</w:t>
        </w:r>
      </w:hyperlink>
      <w:r>
        <w:t xml:space="preserve">. </w:t>
      </w:r>
      <w:r w:rsidR="00355122">
        <w:t xml:space="preserve">Welsh CARIS data </w:t>
      </w:r>
      <w:r w:rsidR="0092540E">
        <w:t>is</w:t>
      </w:r>
      <w:r w:rsidR="00355122">
        <w:t xml:space="preserve"> also used to account for stillbirths</w:t>
      </w:r>
      <w:r w:rsidR="004210C1">
        <w:t xml:space="preserve">. The combined prevalence for NTD-related miscarriages </w:t>
      </w:r>
      <w:r w:rsidR="0092540E">
        <w:t>and</w:t>
      </w:r>
      <w:r w:rsidR="004210C1">
        <w:t xml:space="preserve"> stillbirths is 0.55</w:t>
      </w:r>
      <w:r w:rsidR="0092540E">
        <w:t>.</w:t>
      </w:r>
    </w:p>
    <w:p w14:paraId="391B0DBB" w14:textId="77777777" w:rsidR="0092540E" w:rsidRDefault="0092540E" w:rsidP="00492345"/>
    <w:p w14:paraId="08420027" w14:textId="57D41C75" w:rsidR="0092540E" w:rsidRDefault="0092540E" w:rsidP="00492345">
      <w:r>
        <w:t>The reduction in NTD-related miscarriages and stillbirths is then estimated using the same low, central, and high risk reduction estimates as before.</w:t>
      </w:r>
    </w:p>
    <w:p w14:paraId="2ADF5CE0" w14:textId="77777777" w:rsidR="00492345" w:rsidRDefault="00492345" w:rsidP="00492345"/>
    <w:p w14:paraId="55FACDD9" w14:textId="5FEEE9EC" w:rsidR="00492345" w:rsidRDefault="00492345" w:rsidP="00492345">
      <w:r>
        <w:t>Literature on Scottish-specific NHS healthcare costs of a miscarriage</w:t>
      </w:r>
      <w:r w:rsidR="004A206E">
        <w:t xml:space="preserve"> or stillbirth</w:t>
      </w:r>
      <w:r>
        <w:t xml:space="preserve"> is sparse. </w:t>
      </w:r>
      <w:hyperlink r:id="rId24" w:history="1">
        <w:r w:rsidRPr="00A535F2">
          <w:rPr>
            <w:rStyle w:val="Hyperlink"/>
            <w:rFonts w:cstheme="minorBidi"/>
            <w:color w:val="0070C0"/>
          </w:rPr>
          <w:t>Hughes et al (1996)</w:t>
        </w:r>
      </w:hyperlink>
      <w:r>
        <w:t xml:space="preserve"> estimate the healthcare costs of treating a miscarriage through medical or surgical means. The average cost for these methods was £613 (surgical) and £536 (medical) in 2019 prices, respectively (</w:t>
      </w:r>
      <w:r w:rsidR="008A5310">
        <w:t>adjusting the original 1996 costs using</w:t>
      </w:r>
      <w:r>
        <w:t xml:space="preserve"> standard GDP deflators).</w:t>
      </w:r>
    </w:p>
    <w:p w14:paraId="11B7DAD2" w14:textId="77777777" w:rsidR="00492345" w:rsidRDefault="00492345" w:rsidP="00492345"/>
    <w:p w14:paraId="55526DB9" w14:textId="2F7C044D" w:rsidR="00492345" w:rsidRPr="00930211" w:rsidRDefault="00492345" w:rsidP="00492345">
      <w:r>
        <w:t xml:space="preserve">DHSC, in their impact estimate for England, are using a study </w:t>
      </w:r>
      <w:r w:rsidR="00A904BC">
        <w:t xml:space="preserve">on </w:t>
      </w:r>
      <w:r w:rsidR="0074747A">
        <w:t xml:space="preserve">(early) </w:t>
      </w:r>
      <w:r w:rsidR="00A904BC">
        <w:t xml:space="preserve">miscarriage costs </w:t>
      </w:r>
      <w:r>
        <w:t xml:space="preserve">from </w:t>
      </w:r>
      <w:hyperlink r:id="rId25" w:history="1">
        <w:r w:rsidR="00560C7A" w:rsidRPr="00A535F2">
          <w:rPr>
            <w:rStyle w:val="Hyperlink"/>
            <w:rFonts w:cstheme="minorBidi"/>
            <w:color w:val="0070C0"/>
          </w:rPr>
          <w:t>Petrou et al (2006)</w:t>
        </w:r>
      </w:hyperlink>
      <w:r>
        <w:t>. They find that the average cost is £1,</w:t>
      </w:r>
      <w:r w:rsidR="00B20CCF">
        <w:t>363</w:t>
      </w:r>
      <w:r>
        <w:t xml:space="preserve"> in </w:t>
      </w:r>
      <w:r w:rsidR="00B20CCF">
        <w:t>2002</w:t>
      </w:r>
      <w:r>
        <w:t xml:space="preserve"> prices, which includes hospital care, medication, medical products, community health, social services, and work </w:t>
      </w:r>
      <w:r w:rsidRPr="00930211">
        <w:t xml:space="preserve">absences. Since this is a more comprehensive cost estimate, and from a more recent study, we assume these </w:t>
      </w:r>
      <w:r w:rsidR="000E70F9" w:rsidRPr="00930211">
        <w:t xml:space="preserve">English </w:t>
      </w:r>
      <w:r w:rsidRPr="00930211">
        <w:t xml:space="preserve">costs are representative to Scotland </w:t>
      </w:r>
      <w:r w:rsidR="00B02714" w:rsidRPr="00930211">
        <w:t xml:space="preserve">(A13) </w:t>
      </w:r>
      <w:r w:rsidRPr="00930211">
        <w:t>as well.</w:t>
      </w:r>
    </w:p>
    <w:p w14:paraId="317F5482" w14:textId="77777777" w:rsidR="004C519E" w:rsidRPr="00930211" w:rsidRDefault="004C519E" w:rsidP="00492345"/>
    <w:p w14:paraId="6A9FE94F" w14:textId="27F4C04D" w:rsidR="00492345" w:rsidRDefault="004C519E" w:rsidP="00492345">
      <w:r w:rsidRPr="00930211">
        <w:t xml:space="preserve">In line with the DHSC impact assessment for England, we assume that the cost (to the NHS) of </w:t>
      </w:r>
      <w:r w:rsidR="0074747A" w:rsidRPr="00930211">
        <w:t xml:space="preserve">both a late miscarriage (20-23 weeks) and </w:t>
      </w:r>
      <w:r w:rsidRPr="00930211">
        <w:t xml:space="preserve">a stillbirth </w:t>
      </w:r>
      <w:r w:rsidR="0074747A" w:rsidRPr="00930211">
        <w:t>(</w:t>
      </w:r>
      <w:r w:rsidR="005A6F2F" w:rsidRPr="00930211">
        <w:t xml:space="preserve">&gt; 23 weeks) </w:t>
      </w:r>
      <w:r w:rsidRPr="00930211">
        <w:t xml:space="preserve">is the same as the </w:t>
      </w:r>
      <w:r w:rsidR="005A6F2F" w:rsidRPr="00930211">
        <w:t xml:space="preserve">estimated </w:t>
      </w:r>
      <w:r w:rsidRPr="00930211">
        <w:t>cost of a</w:t>
      </w:r>
      <w:r w:rsidR="005A6F2F" w:rsidRPr="00930211">
        <w:t xml:space="preserve">n early </w:t>
      </w:r>
      <w:r w:rsidRPr="00930211">
        <w:t>miscarriage</w:t>
      </w:r>
      <w:r w:rsidR="001605B4" w:rsidRPr="00930211">
        <w:t xml:space="preserve"> (A14)</w:t>
      </w:r>
      <w:r w:rsidR="00C13830" w:rsidRPr="00930211">
        <w:t xml:space="preserve"> (n</w:t>
      </w:r>
      <w:r w:rsidR="00896C40" w:rsidRPr="00930211">
        <w:t>ote that l</w:t>
      </w:r>
      <w:r w:rsidR="005B59A1" w:rsidRPr="00930211">
        <w:t>ate miscarriages a</w:t>
      </w:r>
      <w:r w:rsidR="00AA283F" w:rsidRPr="00930211">
        <w:t xml:space="preserve">re arguably more clinically similar to </w:t>
      </w:r>
      <w:r w:rsidR="005B59A1" w:rsidRPr="00930211">
        <w:t>stillbirths</w:t>
      </w:r>
      <w:r w:rsidR="00AA283F" w:rsidRPr="00930211">
        <w:t>, and so may have more in common in terms of costs with stillbirths than early miscarriages</w:t>
      </w:r>
      <w:r w:rsidR="00C13830" w:rsidRPr="00930211">
        <w:t>).</w:t>
      </w:r>
    </w:p>
    <w:p w14:paraId="3A3676F9" w14:textId="77777777" w:rsidR="00A55A3F" w:rsidRDefault="00A55A3F" w:rsidP="00492345"/>
    <w:p w14:paraId="63C42DE4" w14:textId="77777777" w:rsidR="00A55A3F" w:rsidRDefault="00A55A3F" w:rsidP="00492345"/>
    <w:p w14:paraId="34410D37" w14:textId="77777777" w:rsidR="00A55A3F" w:rsidRDefault="00A55A3F" w:rsidP="00492345"/>
    <w:p w14:paraId="52426D1A" w14:textId="77777777" w:rsidR="00A55A3F" w:rsidRDefault="00A55A3F" w:rsidP="00492345"/>
    <w:p w14:paraId="5F8101B1" w14:textId="77777777" w:rsidR="00A55A3F" w:rsidRDefault="00A55A3F" w:rsidP="00492345"/>
    <w:p w14:paraId="6BA2F65B" w14:textId="77777777" w:rsidR="004C519E" w:rsidRPr="001C5521" w:rsidRDefault="004C519E" w:rsidP="00492345">
      <w:pPr>
        <w:rPr>
          <w:rFonts w:cstheme="minorHAnsi"/>
          <w:color w:val="276944" w:themeColor="accent2"/>
        </w:rPr>
      </w:pPr>
    </w:p>
    <w:p w14:paraId="2D763402" w14:textId="208CAA37" w:rsidR="004E280F" w:rsidRPr="00A535F2" w:rsidRDefault="004E280F" w:rsidP="004E280F">
      <w:pPr>
        <w:rPr>
          <w:rFonts w:cstheme="minorHAnsi"/>
        </w:rPr>
      </w:pPr>
      <w:r w:rsidRPr="00A535F2">
        <w:t xml:space="preserve">Table </w:t>
      </w:r>
      <w:r w:rsidRPr="00A535F2">
        <w:fldChar w:fldCharType="begin"/>
      </w:r>
      <w:r w:rsidRPr="00A535F2">
        <w:instrText xml:space="preserve"> SEQ Table \* ARABIC </w:instrText>
      </w:r>
      <w:r w:rsidRPr="00A535F2">
        <w:fldChar w:fldCharType="separate"/>
      </w:r>
      <w:r w:rsidR="000E33D5" w:rsidRPr="00A535F2">
        <w:rPr>
          <w:noProof/>
        </w:rPr>
        <w:t>15</w:t>
      </w:r>
      <w:r w:rsidRPr="00A535F2">
        <w:fldChar w:fldCharType="end"/>
      </w:r>
      <w:r w:rsidRPr="00A535F2">
        <w:t xml:space="preserve">. </w:t>
      </w:r>
      <w:r w:rsidRPr="00A535F2">
        <w:rPr>
          <w:rFonts w:cstheme="minorHAnsi"/>
        </w:rPr>
        <w:t xml:space="preserve">Estimated reduction in number of NTD-related miscarriages </w:t>
      </w:r>
      <w:r w:rsidR="004C519E" w:rsidRPr="00A535F2">
        <w:rPr>
          <w:rFonts w:cstheme="minorHAnsi"/>
        </w:rPr>
        <w:t xml:space="preserve">and stillbirths </w:t>
      </w:r>
      <w:r w:rsidRPr="00A535F2">
        <w:rPr>
          <w:rFonts w:cstheme="minorHAnsi"/>
        </w:rPr>
        <w:t xml:space="preserve">and associated </w:t>
      </w:r>
      <w:r w:rsidR="0082611D" w:rsidRPr="00A535F2">
        <w:rPr>
          <w:rFonts w:cstheme="minorHAnsi"/>
        </w:rPr>
        <w:t xml:space="preserve">NHS </w:t>
      </w:r>
      <w:r w:rsidRPr="00A535F2">
        <w:rPr>
          <w:rFonts w:cstheme="minorHAnsi"/>
        </w:rPr>
        <w:t>cost savings</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900"/>
        <w:gridCol w:w="1961"/>
        <w:gridCol w:w="1963"/>
        <w:gridCol w:w="1961"/>
        <w:gridCol w:w="1961"/>
      </w:tblGrid>
      <w:tr w:rsidR="00492345" w14:paraId="7085DA88" w14:textId="77777777" w:rsidTr="00100744">
        <w:tc>
          <w:tcPr>
            <w:tcW w:w="975" w:type="pct"/>
            <w:vMerge w:val="restart"/>
            <w:tcBorders>
              <w:top w:val="single" w:sz="4" w:space="0" w:color="auto"/>
              <w:bottom w:val="nil"/>
            </w:tcBorders>
          </w:tcPr>
          <w:p w14:paraId="13C65E88" w14:textId="77777777" w:rsidR="00492345" w:rsidRPr="006B620C" w:rsidRDefault="00492345" w:rsidP="00100744">
            <w:pPr>
              <w:rPr>
                <w:b/>
                <w:bCs/>
              </w:rPr>
            </w:pPr>
          </w:p>
        </w:tc>
        <w:tc>
          <w:tcPr>
            <w:tcW w:w="1006" w:type="pct"/>
            <w:tcBorders>
              <w:top w:val="single" w:sz="4" w:space="0" w:color="auto"/>
              <w:bottom w:val="nil"/>
            </w:tcBorders>
          </w:tcPr>
          <w:p w14:paraId="3C255149" w14:textId="6D52C5E2" w:rsidR="00492345" w:rsidRPr="006B620C" w:rsidRDefault="00492345" w:rsidP="00100744">
            <w:pPr>
              <w:rPr>
                <w:b/>
                <w:bCs/>
              </w:rPr>
            </w:pPr>
            <w:r>
              <w:rPr>
                <w:b/>
                <w:bCs/>
              </w:rPr>
              <w:t>Estimated number of NTD-related miscarriages</w:t>
            </w:r>
            <w:r w:rsidR="00377EDB">
              <w:rPr>
                <w:b/>
                <w:bCs/>
              </w:rPr>
              <w:t xml:space="preserve"> and stillbirths</w:t>
            </w:r>
          </w:p>
        </w:tc>
        <w:tc>
          <w:tcPr>
            <w:tcW w:w="1007" w:type="pct"/>
            <w:tcBorders>
              <w:top w:val="single" w:sz="4" w:space="0" w:color="auto"/>
              <w:bottom w:val="nil"/>
            </w:tcBorders>
          </w:tcPr>
          <w:p w14:paraId="7EAC3B1A" w14:textId="1CBC36E0" w:rsidR="00492345" w:rsidRPr="006B620C" w:rsidRDefault="00492345" w:rsidP="00100744">
            <w:pPr>
              <w:rPr>
                <w:b/>
                <w:bCs/>
              </w:rPr>
            </w:pPr>
            <w:r>
              <w:rPr>
                <w:b/>
                <w:bCs/>
              </w:rPr>
              <w:t xml:space="preserve">Estimated reduction in NTD-related </w:t>
            </w:r>
            <w:r w:rsidR="00377EDB">
              <w:rPr>
                <w:b/>
                <w:bCs/>
              </w:rPr>
              <w:t>miscarriages and stillbirths</w:t>
            </w:r>
          </w:p>
        </w:tc>
        <w:tc>
          <w:tcPr>
            <w:tcW w:w="1006" w:type="pct"/>
            <w:tcBorders>
              <w:top w:val="single" w:sz="4" w:space="0" w:color="auto"/>
              <w:bottom w:val="nil"/>
            </w:tcBorders>
          </w:tcPr>
          <w:p w14:paraId="30644FA1" w14:textId="77777777" w:rsidR="00492345" w:rsidRPr="006B620C" w:rsidRDefault="00492345" w:rsidP="00100744">
            <w:pPr>
              <w:rPr>
                <w:b/>
                <w:bCs/>
              </w:rPr>
            </w:pPr>
            <w:r>
              <w:rPr>
                <w:b/>
                <w:bCs/>
              </w:rPr>
              <w:t>Assumed cost of miscarriage</w:t>
            </w:r>
          </w:p>
        </w:tc>
        <w:tc>
          <w:tcPr>
            <w:tcW w:w="1006" w:type="pct"/>
            <w:tcBorders>
              <w:top w:val="single" w:sz="4" w:space="0" w:color="auto"/>
              <w:bottom w:val="nil"/>
            </w:tcBorders>
          </w:tcPr>
          <w:p w14:paraId="134F9EA5" w14:textId="77777777" w:rsidR="00492345" w:rsidRPr="006B620C" w:rsidRDefault="00492345" w:rsidP="00100744">
            <w:pPr>
              <w:rPr>
                <w:b/>
                <w:bCs/>
              </w:rPr>
            </w:pPr>
            <w:r>
              <w:rPr>
                <w:b/>
                <w:bCs/>
              </w:rPr>
              <w:t>Total discounted cost saving over 10 year appraisal period</w:t>
            </w:r>
          </w:p>
        </w:tc>
      </w:tr>
      <w:tr w:rsidR="00492345" w14:paraId="3296C3BD" w14:textId="77777777" w:rsidTr="00100744">
        <w:tc>
          <w:tcPr>
            <w:tcW w:w="975" w:type="pct"/>
            <w:vMerge/>
            <w:tcBorders>
              <w:top w:val="nil"/>
              <w:bottom w:val="single" w:sz="4" w:space="0" w:color="auto"/>
            </w:tcBorders>
          </w:tcPr>
          <w:p w14:paraId="5A1D9541" w14:textId="77777777" w:rsidR="00492345" w:rsidRPr="006B620C" w:rsidRDefault="00492345" w:rsidP="00100744">
            <w:pPr>
              <w:rPr>
                <w:b/>
                <w:bCs/>
              </w:rPr>
            </w:pPr>
          </w:p>
        </w:tc>
        <w:tc>
          <w:tcPr>
            <w:tcW w:w="1006" w:type="pct"/>
            <w:tcBorders>
              <w:top w:val="nil"/>
              <w:bottom w:val="single" w:sz="4" w:space="0" w:color="auto"/>
            </w:tcBorders>
          </w:tcPr>
          <w:p w14:paraId="3BF3D693" w14:textId="77777777" w:rsidR="00492345" w:rsidRPr="00B71CFE" w:rsidRDefault="00492345" w:rsidP="00100744">
            <w:pPr>
              <w:rPr>
                <w:sz w:val="20"/>
                <w:szCs w:val="20"/>
              </w:rPr>
            </w:pPr>
            <w:r w:rsidRPr="00B71CFE">
              <w:rPr>
                <w:sz w:val="20"/>
                <w:szCs w:val="20"/>
              </w:rPr>
              <w:t>Annual</w:t>
            </w:r>
          </w:p>
        </w:tc>
        <w:tc>
          <w:tcPr>
            <w:tcW w:w="1007" w:type="pct"/>
            <w:tcBorders>
              <w:top w:val="nil"/>
              <w:bottom w:val="single" w:sz="4" w:space="0" w:color="auto"/>
            </w:tcBorders>
          </w:tcPr>
          <w:p w14:paraId="147B97D4" w14:textId="77777777" w:rsidR="00492345" w:rsidRPr="00B71CFE" w:rsidRDefault="00492345" w:rsidP="00100744">
            <w:pPr>
              <w:rPr>
                <w:sz w:val="20"/>
                <w:szCs w:val="20"/>
              </w:rPr>
            </w:pPr>
            <w:r w:rsidRPr="00B71CFE">
              <w:rPr>
                <w:sz w:val="20"/>
                <w:szCs w:val="20"/>
              </w:rPr>
              <w:t>Annual</w:t>
            </w:r>
          </w:p>
        </w:tc>
        <w:tc>
          <w:tcPr>
            <w:tcW w:w="1006" w:type="pct"/>
            <w:tcBorders>
              <w:top w:val="nil"/>
              <w:bottom w:val="single" w:sz="4" w:space="0" w:color="auto"/>
            </w:tcBorders>
          </w:tcPr>
          <w:p w14:paraId="647C4BFF" w14:textId="2A52A9EF" w:rsidR="00492345" w:rsidRPr="00B71CFE" w:rsidRDefault="00492345" w:rsidP="00100744">
            <w:pPr>
              <w:rPr>
                <w:sz w:val="20"/>
                <w:szCs w:val="20"/>
              </w:rPr>
            </w:pPr>
            <w:r>
              <w:rPr>
                <w:sz w:val="20"/>
                <w:szCs w:val="20"/>
              </w:rPr>
              <w:t xml:space="preserve">Annual, </w:t>
            </w:r>
            <w:r w:rsidR="00AE41C5">
              <w:rPr>
                <w:sz w:val="20"/>
                <w:szCs w:val="20"/>
              </w:rPr>
              <w:t>2024</w:t>
            </w:r>
            <w:r w:rsidRPr="00B71CFE">
              <w:rPr>
                <w:sz w:val="20"/>
                <w:szCs w:val="20"/>
              </w:rPr>
              <w:t xml:space="preserve"> prices</w:t>
            </w:r>
          </w:p>
        </w:tc>
        <w:tc>
          <w:tcPr>
            <w:tcW w:w="1006" w:type="pct"/>
            <w:tcBorders>
              <w:top w:val="nil"/>
              <w:bottom w:val="single" w:sz="4" w:space="0" w:color="auto"/>
            </w:tcBorders>
          </w:tcPr>
          <w:p w14:paraId="0F7C6762" w14:textId="6E35DD69" w:rsidR="00492345" w:rsidRPr="00B71CFE" w:rsidRDefault="009C759E" w:rsidP="00100744">
            <w:pPr>
              <w:rPr>
                <w:sz w:val="20"/>
                <w:szCs w:val="20"/>
              </w:rPr>
            </w:pPr>
            <w:r>
              <w:rPr>
                <w:sz w:val="20"/>
                <w:szCs w:val="20"/>
              </w:rPr>
              <w:t>2024</w:t>
            </w:r>
            <w:r w:rsidR="00492345" w:rsidRPr="00B71CFE">
              <w:rPr>
                <w:sz w:val="20"/>
                <w:szCs w:val="20"/>
              </w:rPr>
              <w:t xml:space="preserve"> prices</w:t>
            </w:r>
          </w:p>
        </w:tc>
      </w:tr>
      <w:tr w:rsidR="00492345" w14:paraId="4B31D2E2" w14:textId="77777777" w:rsidTr="00100744">
        <w:tc>
          <w:tcPr>
            <w:tcW w:w="975" w:type="pct"/>
            <w:tcBorders>
              <w:top w:val="single" w:sz="4" w:space="0" w:color="auto"/>
            </w:tcBorders>
          </w:tcPr>
          <w:p w14:paraId="5CDFF8C8" w14:textId="77777777" w:rsidR="00492345" w:rsidRDefault="00492345" w:rsidP="00100744">
            <w:r>
              <w:t>Low</w:t>
            </w:r>
          </w:p>
        </w:tc>
        <w:tc>
          <w:tcPr>
            <w:tcW w:w="1006" w:type="pct"/>
            <w:tcBorders>
              <w:top w:val="single" w:sz="4" w:space="0" w:color="auto"/>
            </w:tcBorders>
          </w:tcPr>
          <w:p w14:paraId="175809AB" w14:textId="7806C6DD" w:rsidR="00492345" w:rsidRDefault="000B36F0" w:rsidP="00100744">
            <w:r>
              <w:t>2.</w:t>
            </w:r>
            <w:r w:rsidR="002A1236">
              <w:t>90</w:t>
            </w:r>
          </w:p>
        </w:tc>
        <w:tc>
          <w:tcPr>
            <w:tcW w:w="1007" w:type="pct"/>
            <w:tcBorders>
              <w:top w:val="single" w:sz="4" w:space="0" w:color="auto"/>
            </w:tcBorders>
          </w:tcPr>
          <w:p w14:paraId="2777A603" w14:textId="77777777" w:rsidR="00492345" w:rsidRDefault="00492345" w:rsidP="00100744">
            <w:r>
              <w:t>12.3%</w:t>
            </w:r>
          </w:p>
        </w:tc>
        <w:tc>
          <w:tcPr>
            <w:tcW w:w="1006" w:type="pct"/>
            <w:tcBorders>
              <w:top w:val="single" w:sz="4" w:space="0" w:color="auto"/>
            </w:tcBorders>
          </w:tcPr>
          <w:p w14:paraId="3428801B" w14:textId="46F6BD76" w:rsidR="00492345" w:rsidRDefault="00492345" w:rsidP="00100744">
            <w:r>
              <w:t>£</w:t>
            </w:r>
            <w:r w:rsidR="00AE41C5">
              <w:t>2,389</w:t>
            </w:r>
          </w:p>
        </w:tc>
        <w:tc>
          <w:tcPr>
            <w:tcW w:w="1006" w:type="pct"/>
            <w:tcBorders>
              <w:top w:val="single" w:sz="4" w:space="0" w:color="auto"/>
            </w:tcBorders>
          </w:tcPr>
          <w:p w14:paraId="10C75C6F" w14:textId="15C937F3" w:rsidR="00492345" w:rsidRDefault="002B0C1D" w:rsidP="00100744">
            <w:r>
              <w:t>£</w:t>
            </w:r>
            <w:r w:rsidR="0088332D">
              <w:t>7,341</w:t>
            </w:r>
          </w:p>
        </w:tc>
      </w:tr>
      <w:tr w:rsidR="00492345" w14:paraId="1B24885B" w14:textId="77777777" w:rsidTr="00100744">
        <w:tc>
          <w:tcPr>
            <w:tcW w:w="975" w:type="pct"/>
          </w:tcPr>
          <w:p w14:paraId="517409A8" w14:textId="77777777" w:rsidR="00492345" w:rsidRDefault="00492345" w:rsidP="00100744">
            <w:r>
              <w:t>Central</w:t>
            </w:r>
          </w:p>
        </w:tc>
        <w:tc>
          <w:tcPr>
            <w:tcW w:w="1006" w:type="pct"/>
          </w:tcPr>
          <w:p w14:paraId="6BA35EE6" w14:textId="56D63C8F" w:rsidR="00492345" w:rsidRDefault="000B36F0" w:rsidP="00100744">
            <w:r>
              <w:t>2.</w:t>
            </w:r>
            <w:r w:rsidR="002A1236">
              <w:t>90</w:t>
            </w:r>
          </w:p>
        </w:tc>
        <w:tc>
          <w:tcPr>
            <w:tcW w:w="1007" w:type="pct"/>
          </w:tcPr>
          <w:p w14:paraId="757C9AD5" w14:textId="77777777" w:rsidR="00492345" w:rsidRDefault="00492345" w:rsidP="00100744">
            <w:r>
              <w:t>18.9%</w:t>
            </w:r>
          </w:p>
        </w:tc>
        <w:tc>
          <w:tcPr>
            <w:tcW w:w="1006" w:type="pct"/>
          </w:tcPr>
          <w:p w14:paraId="484CD231" w14:textId="6614138F" w:rsidR="00492345" w:rsidRDefault="00AE41C5" w:rsidP="00100744">
            <w:r>
              <w:t>£2,389</w:t>
            </w:r>
          </w:p>
        </w:tc>
        <w:tc>
          <w:tcPr>
            <w:tcW w:w="1006" w:type="pct"/>
          </w:tcPr>
          <w:p w14:paraId="46288288" w14:textId="12DDD20B" w:rsidR="00492345" w:rsidRDefault="00101665" w:rsidP="00100744">
            <w:r>
              <w:t>£</w:t>
            </w:r>
            <w:r w:rsidR="0088332D">
              <w:t>11,262</w:t>
            </w:r>
          </w:p>
        </w:tc>
      </w:tr>
      <w:tr w:rsidR="00492345" w14:paraId="290C12C9" w14:textId="77777777" w:rsidTr="00100744">
        <w:tc>
          <w:tcPr>
            <w:tcW w:w="975" w:type="pct"/>
          </w:tcPr>
          <w:p w14:paraId="638FC294" w14:textId="77777777" w:rsidR="00492345" w:rsidRDefault="00492345" w:rsidP="00100744">
            <w:r>
              <w:t>High</w:t>
            </w:r>
          </w:p>
        </w:tc>
        <w:tc>
          <w:tcPr>
            <w:tcW w:w="1006" w:type="pct"/>
          </w:tcPr>
          <w:p w14:paraId="1D289876" w14:textId="2310CA62" w:rsidR="00492345" w:rsidRDefault="000B36F0" w:rsidP="00100744">
            <w:r>
              <w:t>2.</w:t>
            </w:r>
            <w:r w:rsidR="002A1236">
              <w:t>90</w:t>
            </w:r>
          </w:p>
        </w:tc>
        <w:tc>
          <w:tcPr>
            <w:tcW w:w="1007" w:type="pct"/>
          </w:tcPr>
          <w:p w14:paraId="396DA189" w14:textId="1E01E4E3" w:rsidR="00492345" w:rsidRDefault="001469C3" w:rsidP="00100744">
            <w:r>
              <w:t>2</w:t>
            </w:r>
            <w:r w:rsidR="00492345">
              <w:t>6.9%</w:t>
            </w:r>
          </w:p>
        </w:tc>
        <w:tc>
          <w:tcPr>
            <w:tcW w:w="1006" w:type="pct"/>
          </w:tcPr>
          <w:p w14:paraId="3DDAE73A" w14:textId="62B38B6D" w:rsidR="00492345" w:rsidRDefault="00AE41C5" w:rsidP="00100744">
            <w:r>
              <w:t>£2,389</w:t>
            </w:r>
          </w:p>
        </w:tc>
        <w:tc>
          <w:tcPr>
            <w:tcW w:w="1006" w:type="pct"/>
          </w:tcPr>
          <w:p w14:paraId="11E56979" w14:textId="4E23221E" w:rsidR="00492345" w:rsidRDefault="00101665" w:rsidP="00100744">
            <w:r>
              <w:t>£</w:t>
            </w:r>
            <w:r w:rsidR="009C759E">
              <w:t>16,017</w:t>
            </w:r>
          </w:p>
        </w:tc>
      </w:tr>
    </w:tbl>
    <w:p w14:paraId="4F397BF7" w14:textId="2C0BB990" w:rsidR="00492345" w:rsidRPr="00FB623D" w:rsidRDefault="6344B08A" w:rsidP="00492345">
      <w:pPr>
        <w:jc w:val="right"/>
        <w:rPr>
          <w:sz w:val="20"/>
          <w:szCs w:val="20"/>
        </w:rPr>
      </w:pPr>
      <w:r w:rsidRPr="3C6AB4A7">
        <w:rPr>
          <w:sz w:val="20"/>
          <w:szCs w:val="20"/>
        </w:rPr>
        <w:t>Source: FSS and DHSC calculations; Welsh CARIS data</w:t>
      </w:r>
      <w:r w:rsidR="0485ADD2" w:rsidRPr="3C6AB4A7">
        <w:rPr>
          <w:sz w:val="20"/>
          <w:szCs w:val="20"/>
        </w:rPr>
        <w:t>;</w:t>
      </w:r>
      <w:r w:rsidRPr="3C6AB4A7">
        <w:rPr>
          <w:sz w:val="20"/>
          <w:szCs w:val="20"/>
        </w:rPr>
        <w:t xml:space="preserve"> </w:t>
      </w:r>
      <w:r w:rsidR="66614181" w:rsidRPr="3C6AB4A7">
        <w:rPr>
          <w:sz w:val="20"/>
          <w:szCs w:val="20"/>
        </w:rPr>
        <w:t>Petrou et al (2006</w:t>
      </w:r>
      <w:r w:rsidRPr="3C6AB4A7">
        <w:rPr>
          <w:sz w:val="20"/>
          <w:szCs w:val="20"/>
        </w:rPr>
        <w:t>)</w:t>
      </w:r>
      <w:r w:rsidR="0485ADD2" w:rsidRPr="3C6AB4A7">
        <w:rPr>
          <w:sz w:val="20"/>
          <w:szCs w:val="20"/>
        </w:rPr>
        <w:t>;</w:t>
      </w:r>
      <w:r w:rsidRPr="3C6AB4A7">
        <w:rPr>
          <w:sz w:val="20"/>
          <w:szCs w:val="20"/>
        </w:rPr>
        <w:t xml:space="preserve"> HMT GDP deflators.</w:t>
      </w:r>
    </w:p>
    <w:p w14:paraId="4C6FD751" w14:textId="77777777" w:rsidR="00492345" w:rsidRDefault="00492345" w:rsidP="00492345"/>
    <w:p w14:paraId="036B6E6C" w14:textId="3BAAEF51" w:rsidR="003F70B4" w:rsidRPr="006C3E98" w:rsidRDefault="00B44574" w:rsidP="00492345">
      <w:r>
        <w:t xml:space="preserve">Note that this is </w:t>
      </w:r>
      <w:r w:rsidR="006733C6">
        <w:t xml:space="preserve">likely to be a </w:t>
      </w:r>
      <w:r>
        <w:t xml:space="preserve">relatively crude approximation of the actual </w:t>
      </w:r>
      <w:r w:rsidR="006733C6">
        <w:t xml:space="preserve">NHS </w:t>
      </w:r>
      <w:r>
        <w:t>costs involved in stillbirths</w:t>
      </w:r>
      <w:r w:rsidR="00CF6DA8">
        <w:t>. However, the prevalence is</w:t>
      </w:r>
      <w:r w:rsidR="002766A2">
        <w:t xml:space="preserve"> so</w:t>
      </w:r>
      <w:r w:rsidR="00CF6DA8">
        <w:t xml:space="preserve"> small </w:t>
      </w:r>
      <w:r w:rsidR="002766A2">
        <w:t>that th</w:t>
      </w:r>
      <w:r w:rsidR="00CF6DA8">
        <w:t xml:space="preserve">e end result would not be </w:t>
      </w:r>
      <w:r w:rsidR="00CF6DA8" w:rsidRPr="006C3E98">
        <w:t>drastically different even if the costs were vastly over- or underestimated.</w:t>
      </w:r>
    </w:p>
    <w:p w14:paraId="036D68E2" w14:textId="77777777" w:rsidR="002766A2" w:rsidRPr="006C3E98" w:rsidRDefault="002766A2" w:rsidP="00492345"/>
    <w:p w14:paraId="09D90A9E" w14:textId="765D0EE9" w:rsidR="003F70B4" w:rsidRDefault="00CD15BB" w:rsidP="00492345">
      <w:r w:rsidRPr="006C3E98">
        <w:t xml:space="preserve">Implicit in all of this is the assumption that the NHS costs associated with </w:t>
      </w:r>
      <w:r w:rsidR="008B105B" w:rsidRPr="006C3E98">
        <w:t>a (</w:t>
      </w:r>
      <w:r w:rsidRPr="006C3E98">
        <w:t xml:space="preserve">healthy) newborn are </w:t>
      </w:r>
      <w:r w:rsidR="00251A49" w:rsidRPr="006C3E98">
        <w:t>equal to our Business-As-Usual scenario</w:t>
      </w:r>
      <w:r w:rsidR="002028DB" w:rsidRPr="006C3E98">
        <w:t xml:space="preserve">, Option 1 </w:t>
      </w:r>
      <w:r w:rsidR="00BE650C" w:rsidRPr="006C3E98">
        <w:t>(i.e. our counterfactual)</w:t>
      </w:r>
      <w:r w:rsidR="0031359F" w:rsidRPr="006C3E98">
        <w:t xml:space="preserve">. </w:t>
      </w:r>
      <w:r w:rsidR="00C14711" w:rsidRPr="006C3E98">
        <w:t>Crucially, family planning decisions made after the miscarriage, stillbirth, or termination will highly affect this (e.g. a mother or family might decide to try to conceive again following a miscarriage, but not following a live birth, and the healthcare cost associated with that subsequent live birth may be different)</w:t>
      </w:r>
      <w:r w:rsidR="0002017A" w:rsidRPr="006C3E98">
        <w:t>. W</w:t>
      </w:r>
      <w:r w:rsidR="00E41DBB" w:rsidRPr="006C3E98">
        <w:t>e</w:t>
      </w:r>
      <w:r w:rsidR="00D3630D" w:rsidRPr="006C3E98">
        <w:t xml:space="preserve"> acknowledge that </w:t>
      </w:r>
      <w:r w:rsidR="002028DB" w:rsidRPr="006C3E98">
        <w:t>this may not be accurate</w:t>
      </w:r>
      <w:r w:rsidR="00A16845" w:rsidRPr="006C3E98">
        <w:t xml:space="preserve">, as </w:t>
      </w:r>
      <w:r w:rsidR="00324F04" w:rsidRPr="006C3E98">
        <w:t xml:space="preserve">each live birth </w:t>
      </w:r>
      <w:r w:rsidR="00C14711" w:rsidRPr="006C3E98">
        <w:t xml:space="preserve">and each family </w:t>
      </w:r>
      <w:r w:rsidR="00324F04" w:rsidRPr="006C3E98">
        <w:t>is different</w:t>
      </w:r>
      <w:r w:rsidR="00372999" w:rsidRPr="006C3E98">
        <w:t>.</w:t>
      </w:r>
      <w:r w:rsidR="00CA4DB5" w:rsidRPr="006C3E98">
        <w:t xml:space="preserve"> </w:t>
      </w:r>
      <w:r w:rsidR="00F2067C" w:rsidRPr="006C3E98">
        <w:t>Due to the high degree of uncertainty in this, and i</w:t>
      </w:r>
      <w:r w:rsidR="00CA4DB5" w:rsidRPr="006C3E98">
        <w:t xml:space="preserve">n order to keep the analysis proportionate, we </w:t>
      </w:r>
      <w:r w:rsidR="005E32EE" w:rsidRPr="006C3E98">
        <w:t>do</w:t>
      </w:r>
      <w:r w:rsidR="00CA4DB5" w:rsidRPr="006C3E98">
        <w:t xml:space="preserve"> not attempt to estimate this</w:t>
      </w:r>
      <w:r w:rsidR="001D4277" w:rsidRPr="006C3E98">
        <w:t xml:space="preserve">. </w:t>
      </w:r>
      <w:r w:rsidR="001A27C6" w:rsidRPr="006C3E98">
        <w:t>(A15)</w:t>
      </w:r>
    </w:p>
    <w:p w14:paraId="79A4223A" w14:textId="77777777" w:rsidR="00492345" w:rsidRPr="00A535F2" w:rsidRDefault="60A8E8B3" w:rsidP="007B0647">
      <w:pPr>
        <w:pStyle w:val="Heading4"/>
        <w:rPr>
          <w:color w:val="auto"/>
        </w:rPr>
      </w:pPr>
      <w:r w:rsidRPr="00A535F2">
        <w:rPr>
          <w:color w:val="auto"/>
        </w:rPr>
        <w:t>Terminations</w:t>
      </w:r>
    </w:p>
    <w:p w14:paraId="36E6D1CC" w14:textId="74F69C1E" w:rsidR="00492345" w:rsidRPr="00930211" w:rsidRDefault="00492345" w:rsidP="00492345">
      <w:r w:rsidRPr="00930211">
        <w:t>It is anticipated there will be a reduction in the number of NTD-related pregnancy terminations as a result of the increased folate intake. We assume this reduction is the same NTD risk reduction as assumed before (i.e. in line with the 2017 FSS study)</w:t>
      </w:r>
      <w:r w:rsidR="003B6B02" w:rsidRPr="00930211">
        <w:t xml:space="preserve"> (A5).</w:t>
      </w:r>
    </w:p>
    <w:p w14:paraId="500B5FC4" w14:textId="77777777" w:rsidR="00492345" w:rsidRPr="00930211" w:rsidRDefault="00492345" w:rsidP="00492345"/>
    <w:p w14:paraId="5F65C82E" w14:textId="0D99F612" w:rsidR="00492345" w:rsidRPr="00930211" w:rsidRDefault="00492345" w:rsidP="00492345">
      <w:r w:rsidRPr="00930211">
        <w:t>Data on the number of NTD-related terminations in Scotland is obtained through</w:t>
      </w:r>
      <w:r w:rsidR="00AB1C9C" w:rsidRPr="00930211">
        <w:t xml:space="preserve"> Public Health Scotland</w:t>
      </w:r>
      <w:r w:rsidRPr="00930211">
        <w:t>, similarly to live births. Terminations are the most common outcome for NTD-affected pregnancies in Scotland</w:t>
      </w:r>
      <w:r w:rsidR="0078654E" w:rsidRPr="00930211">
        <w:t xml:space="preserve">, with 35 occurrences annually between 2016-20 </w:t>
      </w:r>
      <w:r w:rsidR="00F26C35" w:rsidRPr="00930211">
        <w:t xml:space="preserve">on average </w:t>
      </w:r>
      <w:r w:rsidR="0078654E" w:rsidRPr="00930211">
        <w:t xml:space="preserve">(compared to e.g. </w:t>
      </w:r>
      <w:r w:rsidR="002E77BC" w:rsidRPr="00930211">
        <w:t>16.6 live births).</w:t>
      </w:r>
    </w:p>
    <w:p w14:paraId="5EBD6EB7" w14:textId="77777777" w:rsidR="00492345" w:rsidRPr="00930211" w:rsidRDefault="00492345" w:rsidP="00492345"/>
    <w:p w14:paraId="244D52CD" w14:textId="344C4504" w:rsidR="00492345" w:rsidRDefault="00492345" w:rsidP="00492345">
      <w:r w:rsidRPr="00930211">
        <w:t>The cost of a termination are assumed to be the same as those in the English NHS Tariff data (</w:t>
      </w:r>
      <w:hyperlink r:id="rId26">
        <w:r w:rsidRPr="4853D327">
          <w:rPr>
            <w:rStyle w:val="Hyperlink"/>
            <w:rFonts w:cstheme="minorBidi"/>
            <w:color w:val="0070C0"/>
          </w:rPr>
          <w:t>2022/23 National Tariff Payment System</w:t>
        </w:r>
      </w:hyperlink>
      <w:r w:rsidRPr="00930211">
        <w:t>), primarily because data on Scotland-specific healthcare costs is scarce</w:t>
      </w:r>
      <w:r w:rsidR="00BB1B31" w:rsidRPr="00930211">
        <w:t xml:space="preserve"> (A16)</w:t>
      </w:r>
      <w:r w:rsidRPr="00930211">
        <w:t>.</w:t>
      </w:r>
      <w:r w:rsidR="00F26C35" w:rsidRPr="00930211">
        <w:t xml:space="preserve"> </w:t>
      </w:r>
      <w:r w:rsidRPr="00930211">
        <w:t xml:space="preserve">Costs are different whether a medical or surgical method is used, and the point during the pregnancy at which the foetus is aborted. This usually depends on when the NTD is detected. In </w:t>
      </w:r>
      <w:r w:rsidR="00DD518F" w:rsidRPr="00930211">
        <w:t>2024</w:t>
      </w:r>
      <w:r w:rsidRPr="00930211">
        <w:t xml:space="preserve"> prices, the cost of a medical termination is assumed to be £</w:t>
      </w:r>
      <w:r w:rsidR="00AE6006" w:rsidRPr="00930211">
        <w:t xml:space="preserve">531 </w:t>
      </w:r>
      <w:r w:rsidR="004C0028" w:rsidRPr="00930211">
        <w:t>(for a point of detection at 11-13 weeks</w:t>
      </w:r>
      <w:r w:rsidRPr="00930211">
        <w:t>,</w:t>
      </w:r>
      <w:r w:rsidR="004C0028" w:rsidRPr="00930211">
        <w:t xml:space="preserve"> as is common with Anencephaly)</w:t>
      </w:r>
      <w:r w:rsidRPr="00930211">
        <w:t xml:space="preserve"> and the cost of a surgical termination £</w:t>
      </w:r>
      <w:r w:rsidR="004C0028" w:rsidRPr="00930211">
        <w:t>1,</w:t>
      </w:r>
      <w:r w:rsidR="000F323A" w:rsidRPr="00930211">
        <w:t>163 (again, at 11-13 weeks)</w:t>
      </w:r>
      <w:r w:rsidRPr="00930211">
        <w:t>.</w:t>
      </w:r>
      <w:r w:rsidR="000F323A" w:rsidRPr="00930211">
        <w:t xml:space="preserve"> Costs for Encephalocele and Spina Bif</w:t>
      </w:r>
      <w:r w:rsidR="005903DC">
        <w:t>i</w:t>
      </w:r>
      <w:r w:rsidR="000F323A" w:rsidRPr="00930211">
        <w:t xml:space="preserve">da are higher due to the </w:t>
      </w:r>
      <w:r w:rsidR="002B726D" w:rsidRPr="00930211">
        <w:t xml:space="preserve">assumed point of detection at 18-20 weeks (see </w:t>
      </w:r>
      <w:r w:rsidR="004072CC" w:rsidRPr="00930211">
        <w:fldChar w:fldCharType="begin"/>
      </w:r>
      <w:r w:rsidR="004072CC" w:rsidRPr="00930211">
        <w:instrText xml:space="preserve"> REF _Ref164427798 \h </w:instrText>
      </w:r>
      <w:r w:rsidR="00930211">
        <w:instrText xml:space="preserve"> \* MERGEFORMAT </w:instrText>
      </w:r>
      <w:r w:rsidR="004072CC" w:rsidRPr="00930211">
        <w:fldChar w:fldCharType="separate"/>
      </w:r>
      <w:r w:rsidR="00115CF7">
        <w:t xml:space="preserve">Table </w:t>
      </w:r>
      <w:r w:rsidR="00115CF7">
        <w:rPr>
          <w:noProof/>
        </w:rPr>
        <w:t>15</w:t>
      </w:r>
      <w:r w:rsidR="004072CC" w:rsidRPr="00930211">
        <w:fldChar w:fldCharType="end"/>
      </w:r>
      <w:r w:rsidR="002B726D" w:rsidRPr="00930211">
        <w:t>)</w:t>
      </w:r>
      <w:r w:rsidR="00D10688" w:rsidRPr="00930211">
        <w:t>.</w:t>
      </w:r>
    </w:p>
    <w:p w14:paraId="56ED90E8" w14:textId="77777777" w:rsidR="007743A0" w:rsidRDefault="007743A0" w:rsidP="00492345"/>
    <w:p w14:paraId="21DE5EF8" w14:textId="54331FD9" w:rsidR="007743A0" w:rsidRDefault="007743A0" w:rsidP="00492345">
      <w:r>
        <w:t xml:space="preserve">Not that unlike miscarriage costs, this includes only the healthcare costs associated with a termination – </w:t>
      </w:r>
      <w:r w:rsidR="007B5B0B">
        <w:t>and excludes e.g. community health, social services, and work absence costs.</w:t>
      </w:r>
      <w:r w:rsidR="005C1495">
        <w:t xml:space="preserve"> This means that the costs below are likely an underestimate of the ‘true’ cost of a medical or surgical termination.</w:t>
      </w:r>
    </w:p>
    <w:p w14:paraId="7D4BA601" w14:textId="77777777" w:rsidR="00BC3853" w:rsidRPr="00A535F2" w:rsidRDefault="00BC3853" w:rsidP="00492345"/>
    <w:p w14:paraId="3AFCC113" w14:textId="6D1D9804" w:rsidR="009927C0" w:rsidRPr="00A535F2" w:rsidRDefault="009927C0" w:rsidP="009927C0">
      <w:pPr>
        <w:pStyle w:val="Caption"/>
        <w:keepNext/>
        <w:rPr>
          <w:color w:val="auto"/>
        </w:rPr>
      </w:pPr>
      <w:bookmarkStart w:id="128" w:name="_Ref164427798"/>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16</w:t>
      </w:r>
      <w:r w:rsidR="00000F90" w:rsidRPr="00A535F2">
        <w:rPr>
          <w:noProof/>
          <w:color w:val="auto"/>
        </w:rPr>
        <w:fldChar w:fldCharType="end"/>
      </w:r>
      <w:bookmarkEnd w:id="128"/>
      <w:r w:rsidRPr="00A535F2">
        <w:rPr>
          <w:color w:val="auto"/>
        </w:rPr>
        <w:t>. Assumed healthcare costs of pregnancy termination, Scotland</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380"/>
        <w:gridCol w:w="2456"/>
        <w:gridCol w:w="2456"/>
        <w:gridCol w:w="2454"/>
      </w:tblGrid>
      <w:tr w:rsidR="00666037" w14:paraId="7827C870" w14:textId="77777777" w:rsidTr="00666037">
        <w:tc>
          <w:tcPr>
            <w:tcW w:w="1221" w:type="pct"/>
            <w:vMerge w:val="restart"/>
            <w:tcBorders>
              <w:top w:val="single" w:sz="4" w:space="0" w:color="auto"/>
              <w:bottom w:val="nil"/>
            </w:tcBorders>
          </w:tcPr>
          <w:p w14:paraId="0E20CC41" w14:textId="77777777" w:rsidR="00666037" w:rsidRPr="006B620C" w:rsidRDefault="00666037" w:rsidP="00100744">
            <w:pPr>
              <w:rPr>
                <w:b/>
                <w:bCs/>
              </w:rPr>
            </w:pPr>
          </w:p>
        </w:tc>
        <w:tc>
          <w:tcPr>
            <w:tcW w:w="1260" w:type="pct"/>
            <w:tcBorders>
              <w:top w:val="single" w:sz="4" w:space="0" w:color="auto"/>
              <w:bottom w:val="nil"/>
            </w:tcBorders>
          </w:tcPr>
          <w:p w14:paraId="1B489D20" w14:textId="1133D8B9" w:rsidR="00666037" w:rsidRPr="006B620C" w:rsidRDefault="00666037" w:rsidP="00100744">
            <w:pPr>
              <w:rPr>
                <w:b/>
                <w:bCs/>
              </w:rPr>
            </w:pPr>
            <w:r>
              <w:rPr>
                <w:b/>
                <w:bCs/>
              </w:rPr>
              <w:t>Typical point of detection</w:t>
            </w:r>
          </w:p>
        </w:tc>
        <w:tc>
          <w:tcPr>
            <w:tcW w:w="1260" w:type="pct"/>
            <w:tcBorders>
              <w:top w:val="single" w:sz="4" w:space="0" w:color="auto"/>
              <w:bottom w:val="nil"/>
            </w:tcBorders>
          </w:tcPr>
          <w:p w14:paraId="37FAD389" w14:textId="5D622C18" w:rsidR="00666037" w:rsidRPr="006B620C" w:rsidRDefault="00666037" w:rsidP="00100744">
            <w:pPr>
              <w:rPr>
                <w:b/>
                <w:bCs/>
              </w:rPr>
            </w:pPr>
            <w:r>
              <w:rPr>
                <w:b/>
                <w:bCs/>
              </w:rPr>
              <w:t>Assumed cost of medical termination</w:t>
            </w:r>
          </w:p>
        </w:tc>
        <w:tc>
          <w:tcPr>
            <w:tcW w:w="1259" w:type="pct"/>
            <w:tcBorders>
              <w:top w:val="single" w:sz="4" w:space="0" w:color="auto"/>
              <w:bottom w:val="nil"/>
            </w:tcBorders>
          </w:tcPr>
          <w:p w14:paraId="2C920071" w14:textId="1A427228" w:rsidR="00666037" w:rsidRPr="006B620C" w:rsidRDefault="00666037" w:rsidP="00100744">
            <w:pPr>
              <w:rPr>
                <w:b/>
                <w:bCs/>
              </w:rPr>
            </w:pPr>
            <w:r>
              <w:rPr>
                <w:b/>
                <w:bCs/>
              </w:rPr>
              <w:t>Assumed cost of surgical termination</w:t>
            </w:r>
          </w:p>
        </w:tc>
      </w:tr>
      <w:tr w:rsidR="00666037" w14:paraId="66E94574" w14:textId="77777777" w:rsidTr="00666037">
        <w:tc>
          <w:tcPr>
            <w:tcW w:w="1221" w:type="pct"/>
            <w:vMerge/>
            <w:tcBorders>
              <w:top w:val="nil"/>
              <w:bottom w:val="single" w:sz="4" w:space="0" w:color="auto"/>
            </w:tcBorders>
          </w:tcPr>
          <w:p w14:paraId="29416547" w14:textId="77777777" w:rsidR="00666037" w:rsidRPr="006B620C" w:rsidRDefault="00666037" w:rsidP="00100744">
            <w:pPr>
              <w:rPr>
                <w:b/>
                <w:bCs/>
              </w:rPr>
            </w:pPr>
          </w:p>
        </w:tc>
        <w:tc>
          <w:tcPr>
            <w:tcW w:w="1260" w:type="pct"/>
            <w:tcBorders>
              <w:top w:val="nil"/>
              <w:bottom w:val="single" w:sz="4" w:space="0" w:color="auto"/>
            </w:tcBorders>
          </w:tcPr>
          <w:p w14:paraId="4CD7208C" w14:textId="225A41FF" w:rsidR="00666037" w:rsidRPr="00B71CFE" w:rsidRDefault="00666037" w:rsidP="00100744">
            <w:pPr>
              <w:rPr>
                <w:sz w:val="20"/>
                <w:szCs w:val="20"/>
              </w:rPr>
            </w:pPr>
            <w:r>
              <w:rPr>
                <w:sz w:val="20"/>
                <w:szCs w:val="20"/>
              </w:rPr>
              <w:t>Weeks</w:t>
            </w:r>
          </w:p>
        </w:tc>
        <w:tc>
          <w:tcPr>
            <w:tcW w:w="1260" w:type="pct"/>
            <w:tcBorders>
              <w:top w:val="nil"/>
              <w:bottom w:val="single" w:sz="4" w:space="0" w:color="auto"/>
            </w:tcBorders>
          </w:tcPr>
          <w:p w14:paraId="015E00A1" w14:textId="059CBF08" w:rsidR="00666037" w:rsidRPr="00B71CFE" w:rsidRDefault="00CD41AD" w:rsidP="00100744">
            <w:pPr>
              <w:rPr>
                <w:sz w:val="20"/>
                <w:szCs w:val="20"/>
              </w:rPr>
            </w:pPr>
            <w:r>
              <w:rPr>
                <w:sz w:val="20"/>
                <w:szCs w:val="20"/>
              </w:rPr>
              <w:t>2024</w:t>
            </w:r>
            <w:r w:rsidR="00666037" w:rsidRPr="00B71CFE">
              <w:rPr>
                <w:sz w:val="20"/>
                <w:szCs w:val="20"/>
              </w:rPr>
              <w:t xml:space="preserve"> prices</w:t>
            </w:r>
          </w:p>
        </w:tc>
        <w:tc>
          <w:tcPr>
            <w:tcW w:w="1259" w:type="pct"/>
            <w:tcBorders>
              <w:top w:val="nil"/>
              <w:bottom w:val="single" w:sz="4" w:space="0" w:color="auto"/>
            </w:tcBorders>
          </w:tcPr>
          <w:p w14:paraId="0E4ACEB9" w14:textId="66FCD463" w:rsidR="00666037" w:rsidRPr="00B71CFE" w:rsidRDefault="00A54E1A" w:rsidP="00100744">
            <w:pPr>
              <w:rPr>
                <w:sz w:val="20"/>
                <w:szCs w:val="20"/>
              </w:rPr>
            </w:pPr>
            <w:r>
              <w:rPr>
                <w:sz w:val="20"/>
                <w:szCs w:val="20"/>
              </w:rPr>
              <w:t>2024</w:t>
            </w:r>
            <w:r w:rsidR="00666037" w:rsidRPr="00B71CFE">
              <w:rPr>
                <w:sz w:val="20"/>
                <w:szCs w:val="20"/>
              </w:rPr>
              <w:t xml:space="preserve"> prices</w:t>
            </w:r>
          </w:p>
        </w:tc>
      </w:tr>
      <w:tr w:rsidR="00666037" w14:paraId="35C2D215" w14:textId="77777777" w:rsidTr="00666037">
        <w:tc>
          <w:tcPr>
            <w:tcW w:w="1221" w:type="pct"/>
          </w:tcPr>
          <w:p w14:paraId="1A076CF2" w14:textId="4FD12C4E" w:rsidR="00666037" w:rsidRDefault="00666037" w:rsidP="00BC3853">
            <w:r>
              <w:t>Anencephaly</w:t>
            </w:r>
          </w:p>
        </w:tc>
        <w:tc>
          <w:tcPr>
            <w:tcW w:w="1260" w:type="pct"/>
          </w:tcPr>
          <w:p w14:paraId="29EB4F91" w14:textId="2B031558" w:rsidR="00666037" w:rsidRDefault="00666037" w:rsidP="00BC3853">
            <w:r>
              <w:t>1</w:t>
            </w:r>
            <w:r w:rsidR="00C106C1">
              <w:t>1-13</w:t>
            </w:r>
          </w:p>
        </w:tc>
        <w:tc>
          <w:tcPr>
            <w:tcW w:w="1260" w:type="pct"/>
          </w:tcPr>
          <w:p w14:paraId="27784148" w14:textId="35C87666" w:rsidR="00666037" w:rsidRDefault="00C106C1" w:rsidP="00BC3853">
            <w:r>
              <w:t>£</w:t>
            </w:r>
            <w:r w:rsidR="00CD41AD">
              <w:t>531</w:t>
            </w:r>
          </w:p>
        </w:tc>
        <w:tc>
          <w:tcPr>
            <w:tcW w:w="1259" w:type="pct"/>
          </w:tcPr>
          <w:p w14:paraId="4B6D28CB" w14:textId="1931C129" w:rsidR="00666037" w:rsidRDefault="00C106C1" w:rsidP="00BC3853">
            <w:r>
              <w:t>£963</w:t>
            </w:r>
          </w:p>
        </w:tc>
      </w:tr>
      <w:tr w:rsidR="00C106C1" w14:paraId="04752A40" w14:textId="77777777" w:rsidTr="00666037">
        <w:tc>
          <w:tcPr>
            <w:tcW w:w="1221" w:type="pct"/>
          </w:tcPr>
          <w:p w14:paraId="693136AC" w14:textId="4BF62B0F" w:rsidR="00C106C1" w:rsidRDefault="00C106C1" w:rsidP="00C106C1">
            <w:r>
              <w:t>Encephalocele</w:t>
            </w:r>
          </w:p>
        </w:tc>
        <w:tc>
          <w:tcPr>
            <w:tcW w:w="1260" w:type="pct"/>
          </w:tcPr>
          <w:p w14:paraId="200B5B79" w14:textId="3DDECA7F" w:rsidR="00C106C1" w:rsidRDefault="00C106C1" w:rsidP="00C106C1">
            <w:r>
              <w:t>18-20</w:t>
            </w:r>
          </w:p>
        </w:tc>
        <w:tc>
          <w:tcPr>
            <w:tcW w:w="1260" w:type="pct"/>
          </w:tcPr>
          <w:p w14:paraId="6EC0F584" w14:textId="092B8D14" w:rsidR="00C106C1" w:rsidRDefault="00C106C1" w:rsidP="00C106C1">
            <w:r>
              <w:t>£874</w:t>
            </w:r>
          </w:p>
        </w:tc>
        <w:tc>
          <w:tcPr>
            <w:tcW w:w="1259" w:type="pct"/>
          </w:tcPr>
          <w:p w14:paraId="7B97AA82" w14:textId="1F602800" w:rsidR="00C106C1" w:rsidRDefault="00C106C1" w:rsidP="00C106C1">
            <w:r>
              <w:t>£1,388</w:t>
            </w:r>
          </w:p>
        </w:tc>
      </w:tr>
      <w:tr w:rsidR="006540BF" w14:paraId="0AB91BBF" w14:textId="77777777" w:rsidTr="00666037">
        <w:tc>
          <w:tcPr>
            <w:tcW w:w="1221" w:type="pct"/>
          </w:tcPr>
          <w:p w14:paraId="0757DE99" w14:textId="7A6A15B9" w:rsidR="006540BF" w:rsidRDefault="006540BF" w:rsidP="00BC3853">
            <w:r>
              <w:t>Spina Bifida</w:t>
            </w:r>
          </w:p>
        </w:tc>
        <w:tc>
          <w:tcPr>
            <w:tcW w:w="1260" w:type="pct"/>
          </w:tcPr>
          <w:p w14:paraId="510342F0" w14:textId="39217B4A" w:rsidR="006540BF" w:rsidRDefault="00C106C1" w:rsidP="00BC3853">
            <w:r>
              <w:t>18-20</w:t>
            </w:r>
          </w:p>
        </w:tc>
        <w:tc>
          <w:tcPr>
            <w:tcW w:w="1260" w:type="pct"/>
          </w:tcPr>
          <w:p w14:paraId="052BC33D" w14:textId="3D147B91" w:rsidR="006540BF" w:rsidRDefault="00C106C1" w:rsidP="00BC3853">
            <w:r>
              <w:t>£874</w:t>
            </w:r>
          </w:p>
        </w:tc>
        <w:tc>
          <w:tcPr>
            <w:tcW w:w="1259" w:type="pct"/>
          </w:tcPr>
          <w:p w14:paraId="7AEDAAA9" w14:textId="1DA6DE40" w:rsidR="006540BF" w:rsidRDefault="00C106C1" w:rsidP="00BC3853">
            <w:r>
              <w:t>£1,388</w:t>
            </w:r>
          </w:p>
        </w:tc>
      </w:tr>
    </w:tbl>
    <w:p w14:paraId="456E40AA" w14:textId="77777777" w:rsidR="00492345" w:rsidRDefault="00492345" w:rsidP="00492345"/>
    <w:p w14:paraId="31B38A75" w14:textId="42F33C8B" w:rsidR="00492345" w:rsidRDefault="00492345" w:rsidP="00492345">
      <w:r w:rsidRPr="00930211">
        <w:t xml:space="preserve">Data on the split between medical and surgical terminations comes from Public Health Scotland (see Table 8 in </w:t>
      </w:r>
      <w:hyperlink r:id="rId27" w:anchor=":~:text=Termination%20rates%2C%20Scotland%2C%202013%20to%202022&amp;text=The%20rate%20of%20terminations%20in,in%20the%20rate%20to%2016.1.&amp;text=Termination%20rates%20increased%20steeply%20between,regardless%20of%20level%20of%20deprivation." w:history="1">
        <w:r w:rsidRPr="00A535F2">
          <w:rPr>
            <w:rStyle w:val="Hyperlink"/>
            <w:rFonts w:cstheme="minorBidi"/>
            <w:color w:val="0070C0"/>
          </w:rPr>
          <w:t>Termination of Pregnancy Statistics, Year Ending Dec 2022, Public Health Scotland, 2023</w:t>
        </w:r>
      </w:hyperlink>
      <w:r w:rsidRPr="00930211">
        <w:t>). In 2021, 99.2% of all pregnancy terminations were medical</w:t>
      </w:r>
      <w:r w:rsidRPr="00930211">
        <w:rPr>
          <w:rFonts w:cstheme="minorHAnsi"/>
        </w:rPr>
        <w:t>, with the remainder surgical (data for 2022 was provisional at the time of writing).</w:t>
      </w:r>
      <w:r w:rsidRPr="00930211">
        <w:rPr>
          <w:rStyle w:val="FootnoteReference"/>
          <w:rFonts w:asciiTheme="minorHAnsi" w:hAnsiTheme="minorHAnsi" w:cstheme="minorHAnsi"/>
          <w:sz w:val="24"/>
        </w:rPr>
        <w:footnoteReference w:id="14"/>
      </w:r>
      <w:r w:rsidRPr="00930211">
        <w:rPr>
          <w:rFonts w:cstheme="minorHAnsi"/>
        </w:rPr>
        <w:t xml:space="preserve"> We assume this same distribution of methods applies to NTD-related terminations</w:t>
      </w:r>
      <w:r w:rsidR="000266C7" w:rsidRPr="00930211">
        <w:rPr>
          <w:rFonts w:cstheme="minorHAnsi"/>
        </w:rPr>
        <w:t xml:space="preserve"> (A17)</w:t>
      </w:r>
      <w:r w:rsidRPr="00930211">
        <w:rPr>
          <w:rFonts w:cstheme="minorHAnsi"/>
        </w:rPr>
        <w:t>.</w:t>
      </w:r>
    </w:p>
    <w:p w14:paraId="4FD37608" w14:textId="77777777" w:rsidR="00492345" w:rsidRDefault="00492345" w:rsidP="00492345"/>
    <w:p w14:paraId="7E63EE57" w14:textId="77777777" w:rsidR="00492345" w:rsidRPr="006A7A00" w:rsidRDefault="00492345" w:rsidP="00492345">
      <w:pPr>
        <w:rPr>
          <w:rFonts w:cstheme="minorHAnsi"/>
        </w:rPr>
      </w:pPr>
      <w:r>
        <w:t>This is different from the DHSC impact assessment for England, who use statistics for England &amp; Wales – where the proportion of medical terminations was 87% in 2021.</w:t>
      </w:r>
    </w:p>
    <w:p w14:paraId="5ABB6CDA" w14:textId="77777777" w:rsidR="00492345" w:rsidRDefault="00492345" w:rsidP="00492345"/>
    <w:p w14:paraId="634BBABD" w14:textId="249CCD2C" w:rsidR="00492345" w:rsidRDefault="00492345" w:rsidP="00492345">
      <w:r>
        <w:t xml:space="preserve">The </w:t>
      </w:r>
      <w:r w:rsidRPr="00AF5CAF">
        <w:t>total present value of the cost savings over the 10 year evaluation period is £</w:t>
      </w:r>
      <w:r w:rsidR="004F7184" w:rsidRPr="00AF5CAF">
        <w:t>40,778</w:t>
      </w:r>
      <w:r w:rsidR="00E32D9D" w:rsidRPr="00AF5CAF">
        <w:t xml:space="preserve"> (central </w:t>
      </w:r>
      <w:r w:rsidR="00AF5CAF" w:rsidRPr="00AF5CAF">
        <w:t>estimate</w:t>
      </w:r>
      <w:r w:rsidR="00E32D9D" w:rsidRPr="00AF5CAF">
        <w:t>)</w:t>
      </w:r>
      <w:r w:rsidRPr="00AF5CAF">
        <w:t>.</w:t>
      </w:r>
    </w:p>
    <w:p w14:paraId="4AE8D144" w14:textId="77777777" w:rsidR="00A55A3F" w:rsidRDefault="00A55A3F" w:rsidP="00492345"/>
    <w:p w14:paraId="7FDBE3C0" w14:textId="77777777" w:rsidR="00A55A3F" w:rsidRDefault="00A55A3F" w:rsidP="00492345"/>
    <w:p w14:paraId="44A16556" w14:textId="77777777" w:rsidR="00A55A3F" w:rsidRDefault="00A55A3F" w:rsidP="00492345"/>
    <w:p w14:paraId="6B47D2CD" w14:textId="77777777" w:rsidR="00492345" w:rsidRDefault="00492345" w:rsidP="00492345"/>
    <w:p w14:paraId="7E5156F8" w14:textId="67F35D5D" w:rsidR="008B6DF7" w:rsidRPr="00A535F2" w:rsidRDefault="008B6DF7" w:rsidP="008B6DF7">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17</w:t>
      </w:r>
      <w:r w:rsidR="00000F90" w:rsidRPr="00A535F2">
        <w:rPr>
          <w:noProof/>
          <w:color w:val="auto"/>
        </w:rPr>
        <w:fldChar w:fldCharType="end"/>
      </w:r>
      <w:r w:rsidRPr="00A535F2">
        <w:rPr>
          <w:color w:val="auto"/>
        </w:rPr>
        <w:t xml:space="preserve">. </w:t>
      </w:r>
      <w:r w:rsidR="001B0A24" w:rsidRPr="00A535F2">
        <w:rPr>
          <w:color w:val="auto"/>
        </w:rPr>
        <w:t>Central NHS cost savings due to the reduced number of NTD-related terminations</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946"/>
        <w:gridCol w:w="2266"/>
        <w:gridCol w:w="2267"/>
        <w:gridCol w:w="2267"/>
      </w:tblGrid>
      <w:tr w:rsidR="009A1D97" w14:paraId="36E108DE" w14:textId="77777777" w:rsidTr="00CB2DFB">
        <w:trPr>
          <w:trHeight w:val="1191"/>
        </w:trPr>
        <w:tc>
          <w:tcPr>
            <w:tcW w:w="1511" w:type="pct"/>
            <w:tcBorders>
              <w:top w:val="single" w:sz="4" w:space="0" w:color="auto"/>
              <w:bottom w:val="nil"/>
            </w:tcBorders>
          </w:tcPr>
          <w:p w14:paraId="3D6F0320" w14:textId="77777777" w:rsidR="009A1D97" w:rsidRPr="006B620C" w:rsidRDefault="009A1D97" w:rsidP="00100744">
            <w:pPr>
              <w:rPr>
                <w:b/>
                <w:bCs/>
              </w:rPr>
            </w:pPr>
            <w:r>
              <w:rPr>
                <w:b/>
                <w:bCs/>
              </w:rPr>
              <w:t>N</w:t>
            </w:r>
            <w:r w:rsidRPr="006B620C">
              <w:rPr>
                <w:b/>
                <w:bCs/>
              </w:rPr>
              <w:t>TD</w:t>
            </w:r>
          </w:p>
        </w:tc>
        <w:tc>
          <w:tcPr>
            <w:tcW w:w="1162" w:type="pct"/>
            <w:tcBorders>
              <w:top w:val="single" w:sz="4" w:space="0" w:color="auto"/>
              <w:bottom w:val="nil"/>
            </w:tcBorders>
          </w:tcPr>
          <w:p w14:paraId="66D7B7D1" w14:textId="676CBCBB" w:rsidR="009A1D97" w:rsidRPr="006B620C" w:rsidRDefault="009A1D97" w:rsidP="00100744">
            <w:pPr>
              <w:rPr>
                <w:b/>
                <w:bCs/>
              </w:rPr>
            </w:pPr>
            <w:r>
              <w:rPr>
                <w:b/>
                <w:bCs/>
              </w:rPr>
              <w:t>Annual number of NTD-related terminations</w:t>
            </w:r>
          </w:p>
        </w:tc>
        <w:tc>
          <w:tcPr>
            <w:tcW w:w="1163" w:type="pct"/>
            <w:tcBorders>
              <w:top w:val="single" w:sz="4" w:space="0" w:color="auto"/>
              <w:bottom w:val="nil"/>
            </w:tcBorders>
          </w:tcPr>
          <w:p w14:paraId="7CB3BAEB" w14:textId="77777777" w:rsidR="009A1D97" w:rsidRPr="006B620C" w:rsidRDefault="009A1D97" w:rsidP="00100744">
            <w:pPr>
              <w:rPr>
                <w:b/>
                <w:bCs/>
              </w:rPr>
            </w:pPr>
            <w:r>
              <w:rPr>
                <w:b/>
                <w:bCs/>
              </w:rPr>
              <w:t>Estimated reduction in number of terminations</w:t>
            </w:r>
          </w:p>
        </w:tc>
        <w:tc>
          <w:tcPr>
            <w:tcW w:w="1163" w:type="pct"/>
            <w:tcBorders>
              <w:top w:val="single" w:sz="4" w:space="0" w:color="auto"/>
              <w:bottom w:val="nil"/>
            </w:tcBorders>
          </w:tcPr>
          <w:p w14:paraId="3AB7C3D8" w14:textId="3DAF25B7" w:rsidR="009A1D97" w:rsidRDefault="009A1D97" w:rsidP="00100744">
            <w:pPr>
              <w:rPr>
                <w:b/>
                <w:bCs/>
              </w:rPr>
            </w:pPr>
            <w:r>
              <w:rPr>
                <w:b/>
                <w:bCs/>
              </w:rPr>
              <w:t>Annual NHS cost saving</w:t>
            </w:r>
            <w:r w:rsidR="00B24923">
              <w:rPr>
                <w:b/>
                <w:bCs/>
              </w:rPr>
              <w:t xml:space="preserve"> per termination</w:t>
            </w:r>
          </w:p>
        </w:tc>
      </w:tr>
      <w:tr w:rsidR="009A1D97" w14:paraId="0F29E081" w14:textId="77777777" w:rsidTr="00CB2DFB">
        <w:tc>
          <w:tcPr>
            <w:tcW w:w="1511" w:type="pct"/>
            <w:tcBorders>
              <w:bottom w:val="single" w:sz="4" w:space="0" w:color="auto"/>
            </w:tcBorders>
          </w:tcPr>
          <w:p w14:paraId="1E58B078" w14:textId="77777777" w:rsidR="009A1D97" w:rsidRDefault="009A1D97" w:rsidP="00100744"/>
        </w:tc>
        <w:tc>
          <w:tcPr>
            <w:tcW w:w="1162" w:type="pct"/>
            <w:tcBorders>
              <w:bottom w:val="single" w:sz="4" w:space="0" w:color="auto"/>
            </w:tcBorders>
          </w:tcPr>
          <w:p w14:paraId="4B76A883" w14:textId="0C473B1E" w:rsidR="009A1D97" w:rsidRPr="00305B5B" w:rsidRDefault="00305B5B" w:rsidP="00100744">
            <w:pPr>
              <w:rPr>
                <w:sz w:val="20"/>
                <w:szCs w:val="20"/>
              </w:rPr>
            </w:pPr>
            <w:r w:rsidRPr="00305B5B">
              <w:rPr>
                <w:sz w:val="20"/>
                <w:szCs w:val="20"/>
              </w:rPr>
              <w:t>2016-20 average</w:t>
            </w:r>
          </w:p>
        </w:tc>
        <w:tc>
          <w:tcPr>
            <w:tcW w:w="1163" w:type="pct"/>
            <w:tcBorders>
              <w:bottom w:val="single" w:sz="4" w:space="0" w:color="auto"/>
            </w:tcBorders>
          </w:tcPr>
          <w:p w14:paraId="222B76EB" w14:textId="77777777" w:rsidR="009A1D97" w:rsidRPr="00305B5B" w:rsidRDefault="009A1D97" w:rsidP="00100744">
            <w:pPr>
              <w:rPr>
                <w:sz w:val="20"/>
                <w:szCs w:val="20"/>
              </w:rPr>
            </w:pPr>
          </w:p>
        </w:tc>
        <w:tc>
          <w:tcPr>
            <w:tcW w:w="1163" w:type="pct"/>
            <w:tcBorders>
              <w:bottom w:val="single" w:sz="4" w:space="0" w:color="auto"/>
            </w:tcBorders>
          </w:tcPr>
          <w:p w14:paraId="787DDA3A" w14:textId="699B2438" w:rsidR="009A1D97" w:rsidRPr="00305B5B" w:rsidRDefault="0023693E" w:rsidP="00100744">
            <w:pPr>
              <w:rPr>
                <w:sz w:val="20"/>
                <w:szCs w:val="20"/>
              </w:rPr>
            </w:pPr>
            <w:r>
              <w:rPr>
                <w:sz w:val="20"/>
                <w:szCs w:val="20"/>
              </w:rPr>
              <w:t>2024</w:t>
            </w:r>
            <w:r w:rsidR="009A1D97" w:rsidRPr="00305B5B">
              <w:rPr>
                <w:sz w:val="20"/>
                <w:szCs w:val="20"/>
              </w:rPr>
              <w:t xml:space="preserve"> prices</w:t>
            </w:r>
          </w:p>
        </w:tc>
      </w:tr>
      <w:tr w:rsidR="008B6DF7" w14:paraId="72E2C2A9" w14:textId="77777777" w:rsidTr="00CB2DFB">
        <w:tc>
          <w:tcPr>
            <w:tcW w:w="1511" w:type="pct"/>
            <w:tcBorders>
              <w:top w:val="single" w:sz="4" w:space="0" w:color="auto"/>
            </w:tcBorders>
          </w:tcPr>
          <w:p w14:paraId="4C4FA2B7" w14:textId="77777777" w:rsidR="008B6DF7" w:rsidRDefault="008B6DF7" w:rsidP="00100744">
            <w:r>
              <w:t>Anencephaly</w:t>
            </w:r>
          </w:p>
        </w:tc>
        <w:tc>
          <w:tcPr>
            <w:tcW w:w="1162" w:type="pct"/>
            <w:tcBorders>
              <w:top w:val="single" w:sz="4" w:space="0" w:color="auto"/>
            </w:tcBorders>
          </w:tcPr>
          <w:p w14:paraId="262219BA" w14:textId="28C1E881" w:rsidR="008B6DF7" w:rsidRDefault="007801A0" w:rsidP="00100744">
            <w:r>
              <w:t>23</w:t>
            </w:r>
          </w:p>
        </w:tc>
        <w:tc>
          <w:tcPr>
            <w:tcW w:w="1163" w:type="pct"/>
            <w:tcBorders>
              <w:top w:val="single" w:sz="4" w:space="0" w:color="auto"/>
            </w:tcBorders>
          </w:tcPr>
          <w:p w14:paraId="0541C6D8" w14:textId="2B656C06" w:rsidR="008B6DF7" w:rsidRDefault="006E21D8" w:rsidP="00100744">
            <w:r>
              <w:t>4.35</w:t>
            </w:r>
          </w:p>
        </w:tc>
        <w:tc>
          <w:tcPr>
            <w:tcW w:w="1163" w:type="pct"/>
            <w:tcBorders>
              <w:top w:val="single" w:sz="4" w:space="0" w:color="auto"/>
            </w:tcBorders>
          </w:tcPr>
          <w:p w14:paraId="21451927" w14:textId="307A542E" w:rsidR="008B6DF7" w:rsidRDefault="00585302" w:rsidP="00100744">
            <w:r>
              <w:t>536</w:t>
            </w:r>
          </w:p>
        </w:tc>
      </w:tr>
      <w:tr w:rsidR="008B6DF7" w14:paraId="67DB1367" w14:textId="77777777" w:rsidTr="00CB2DFB">
        <w:tc>
          <w:tcPr>
            <w:tcW w:w="1511" w:type="pct"/>
            <w:tcBorders>
              <w:bottom w:val="nil"/>
            </w:tcBorders>
          </w:tcPr>
          <w:p w14:paraId="0052B0E7" w14:textId="77777777" w:rsidR="008B6DF7" w:rsidRDefault="008B6DF7" w:rsidP="00100744">
            <w:r>
              <w:t>Encephalocele</w:t>
            </w:r>
          </w:p>
        </w:tc>
        <w:tc>
          <w:tcPr>
            <w:tcW w:w="1162" w:type="pct"/>
            <w:tcBorders>
              <w:bottom w:val="nil"/>
            </w:tcBorders>
          </w:tcPr>
          <w:p w14:paraId="7F5949C8" w14:textId="08D52B6E" w:rsidR="008B6DF7" w:rsidRDefault="009A1D97" w:rsidP="00100744">
            <w:r>
              <w:t>3.4</w:t>
            </w:r>
          </w:p>
        </w:tc>
        <w:tc>
          <w:tcPr>
            <w:tcW w:w="1163" w:type="pct"/>
            <w:tcBorders>
              <w:bottom w:val="nil"/>
            </w:tcBorders>
          </w:tcPr>
          <w:p w14:paraId="1F7082E2" w14:textId="77678740" w:rsidR="008B6DF7" w:rsidRDefault="00AF7685" w:rsidP="00100744">
            <w:r>
              <w:t>0.64</w:t>
            </w:r>
          </w:p>
        </w:tc>
        <w:tc>
          <w:tcPr>
            <w:tcW w:w="1163" w:type="pct"/>
            <w:tcBorders>
              <w:bottom w:val="nil"/>
            </w:tcBorders>
          </w:tcPr>
          <w:p w14:paraId="0CA317F7" w14:textId="1503CD1E" w:rsidR="008B6DF7" w:rsidRDefault="00585302" w:rsidP="00100744">
            <w:r>
              <w:t>1</w:t>
            </w:r>
            <w:r w:rsidR="0026355A">
              <w:t>,</w:t>
            </w:r>
            <w:r>
              <w:t>061</w:t>
            </w:r>
          </w:p>
        </w:tc>
      </w:tr>
      <w:tr w:rsidR="008B6DF7" w14:paraId="5B694C85" w14:textId="77777777" w:rsidTr="00CB2DFB">
        <w:tc>
          <w:tcPr>
            <w:tcW w:w="1511" w:type="pct"/>
            <w:tcBorders>
              <w:bottom w:val="single" w:sz="4" w:space="0" w:color="auto"/>
            </w:tcBorders>
          </w:tcPr>
          <w:p w14:paraId="5A844ADB" w14:textId="77777777" w:rsidR="008B6DF7" w:rsidRDefault="008B6DF7" w:rsidP="00100744">
            <w:r>
              <w:t>Spina Bifida</w:t>
            </w:r>
          </w:p>
        </w:tc>
        <w:tc>
          <w:tcPr>
            <w:tcW w:w="1162" w:type="pct"/>
            <w:tcBorders>
              <w:bottom w:val="single" w:sz="4" w:space="0" w:color="auto"/>
            </w:tcBorders>
          </w:tcPr>
          <w:p w14:paraId="203897BD" w14:textId="249AA542" w:rsidR="008B6DF7" w:rsidRDefault="00CB2DFB" w:rsidP="00100744">
            <w:r>
              <w:t>8.6</w:t>
            </w:r>
          </w:p>
        </w:tc>
        <w:tc>
          <w:tcPr>
            <w:tcW w:w="1163" w:type="pct"/>
            <w:tcBorders>
              <w:bottom w:val="single" w:sz="4" w:space="0" w:color="auto"/>
            </w:tcBorders>
          </w:tcPr>
          <w:p w14:paraId="362201E1" w14:textId="35C1545E" w:rsidR="008B6DF7" w:rsidRDefault="00AF7685" w:rsidP="00100744">
            <w:r>
              <w:t>1.63</w:t>
            </w:r>
          </w:p>
        </w:tc>
        <w:tc>
          <w:tcPr>
            <w:tcW w:w="1163" w:type="pct"/>
            <w:tcBorders>
              <w:bottom w:val="single" w:sz="4" w:space="0" w:color="auto"/>
            </w:tcBorders>
          </w:tcPr>
          <w:p w14:paraId="4201D586" w14:textId="242F9C88" w:rsidR="008B6DF7" w:rsidRDefault="0026355A" w:rsidP="00100744">
            <w:r>
              <w:t>1,061</w:t>
            </w:r>
          </w:p>
        </w:tc>
      </w:tr>
      <w:tr w:rsidR="008B6DF7" w14:paraId="007D5A11" w14:textId="77777777" w:rsidTr="00CB2DFB">
        <w:tc>
          <w:tcPr>
            <w:tcW w:w="1511" w:type="pct"/>
            <w:tcBorders>
              <w:top w:val="single" w:sz="4" w:space="0" w:color="auto"/>
            </w:tcBorders>
          </w:tcPr>
          <w:p w14:paraId="71A97829" w14:textId="77777777" w:rsidR="008B6DF7" w:rsidRPr="00AB56FC" w:rsidRDefault="008B6DF7" w:rsidP="00100744">
            <w:r>
              <w:rPr>
                <w:b/>
                <w:bCs/>
              </w:rPr>
              <w:t>Total</w:t>
            </w:r>
          </w:p>
        </w:tc>
        <w:tc>
          <w:tcPr>
            <w:tcW w:w="1162" w:type="pct"/>
            <w:tcBorders>
              <w:top w:val="single" w:sz="4" w:space="0" w:color="auto"/>
            </w:tcBorders>
          </w:tcPr>
          <w:p w14:paraId="0D73A1AD" w14:textId="535B0065" w:rsidR="008B6DF7" w:rsidRPr="00CB2DFB" w:rsidRDefault="00CB2DFB" w:rsidP="00100744">
            <w:pPr>
              <w:rPr>
                <w:b/>
                <w:bCs/>
              </w:rPr>
            </w:pPr>
            <w:r w:rsidRPr="00CB2DFB">
              <w:rPr>
                <w:b/>
                <w:bCs/>
              </w:rPr>
              <w:t>35</w:t>
            </w:r>
          </w:p>
        </w:tc>
        <w:tc>
          <w:tcPr>
            <w:tcW w:w="1163" w:type="pct"/>
            <w:tcBorders>
              <w:top w:val="single" w:sz="4" w:space="0" w:color="auto"/>
            </w:tcBorders>
          </w:tcPr>
          <w:p w14:paraId="280E292A" w14:textId="2A63166E" w:rsidR="008B6DF7" w:rsidRPr="00CB2DFB" w:rsidRDefault="00244359" w:rsidP="00100744">
            <w:pPr>
              <w:rPr>
                <w:b/>
                <w:bCs/>
              </w:rPr>
            </w:pPr>
            <w:r>
              <w:rPr>
                <w:b/>
                <w:bCs/>
              </w:rPr>
              <w:t>6.62</w:t>
            </w:r>
          </w:p>
        </w:tc>
        <w:tc>
          <w:tcPr>
            <w:tcW w:w="1163" w:type="pct"/>
            <w:tcBorders>
              <w:top w:val="single" w:sz="4" w:space="0" w:color="auto"/>
            </w:tcBorders>
          </w:tcPr>
          <w:p w14:paraId="34CB90C3" w14:textId="2459E0BD" w:rsidR="008B6DF7" w:rsidRPr="00CB2DFB" w:rsidRDefault="00244359" w:rsidP="00100744">
            <w:pPr>
              <w:rPr>
                <w:b/>
                <w:bCs/>
              </w:rPr>
            </w:pPr>
            <w:r>
              <w:rPr>
                <w:b/>
                <w:bCs/>
              </w:rPr>
              <w:t>..</w:t>
            </w:r>
          </w:p>
        </w:tc>
      </w:tr>
    </w:tbl>
    <w:p w14:paraId="63F4EDC1" w14:textId="77777777" w:rsidR="00492345" w:rsidRDefault="00492345" w:rsidP="00492345"/>
    <w:p w14:paraId="4651EC11" w14:textId="22838FA4" w:rsidR="00492345" w:rsidRDefault="00492345" w:rsidP="00492345">
      <w:r>
        <w:t>Given the uncertainty surrounding the NTD risk reduction, we use the low and high estimates mentioned earlier to construct low and high estimates of this cost saving</w:t>
      </w:r>
      <w:r w:rsidR="00A8796E">
        <w:t xml:space="preserve"> (A5)</w:t>
      </w:r>
      <w:r>
        <w:t>.</w:t>
      </w:r>
    </w:p>
    <w:p w14:paraId="7D9CED87" w14:textId="5518BC5A" w:rsidR="00492345" w:rsidRPr="001C5521" w:rsidRDefault="00492345" w:rsidP="00492345">
      <w:pPr>
        <w:rPr>
          <w:rFonts w:cstheme="minorHAnsi"/>
          <w:color w:val="276944" w:themeColor="accent2"/>
        </w:rPr>
      </w:pPr>
    </w:p>
    <w:p w14:paraId="2CDD4813" w14:textId="554D7E5D" w:rsidR="00D26E27" w:rsidRPr="00A535F2" w:rsidRDefault="00D26E27" w:rsidP="00D26E27">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18</w:t>
      </w:r>
      <w:r w:rsidR="00000F90" w:rsidRPr="00A535F2">
        <w:rPr>
          <w:noProof/>
          <w:color w:val="auto"/>
        </w:rPr>
        <w:fldChar w:fldCharType="end"/>
      </w:r>
      <w:r w:rsidRPr="00A535F2">
        <w:rPr>
          <w:color w:val="auto"/>
        </w:rPr>
        <w:t>. Total discounted NHS cost savings due to the reduced number of NTD-related terminations</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346"/>
        <w:gridCol w:w="3700"/>
        <w:gridCol w:w="3700"/>
      </w:tblGrid>
      <w:tr w:rsidR="00D26E27" w14:paraId="4F92D099" w14:textId="77777777" w:rsidTr="00D26E27">
        <w:tc>
          <w:tcPr>
            <w:tcW w:w="1204" w:type="pct"/>
            <w:vMerge w:val="restart"/>
            <w:tcBorders>
              <w:top w:val="single" w:sz="4" w:space="0" w:color="auto"/>
              <w:bottom w:val="nil"/>
            </w:tcBorders>
          </w:tcPr>
          <w:p w14:paraId="08515320" w14:textId="77777777" w:rsidR="00D26E27" w:rsidRPr="006B620C" w:rsidRDefault="00D26E27" w:rsidP="00100744">
            <w:pPr>
              <w:rPr>
                <w:b/>
                <w:bCs/>
              </w:rPr>
            </w:pPr>
          </w:p>
        </w:tc>
        <w:tc>
          <w:tcPr>
            <w:tcW w:w="1898" w:type="pct"/>
            <w:tcBorders>
              <w:top w:val="single" w:sz="4" w:space="0" w:color="auto"/>
              <w:bottom w:val="nil"/>
            </w:tcBorders>
          </w:tcPr>
          <w:p w14:paraId="08C300FB" w14:textId="58A1D80A" w:rsidR="00D26E27" w:rsidRPr="006B620C" w:rsidRDefault="00037FDC" w:rsidP="00100744">
            <w:pPr>
              <w:rPr>
                <w:b/>
                <w:bCs/>
              </w:rPr>
            </w:pPr>
            <w:r>
              <w:rPr>
                <w:b/>
                <w:bCs/>
              </w:rPr>
              <w:t>A</w:t>
            </w:r>
            <w:r w:rsidR="00D26E27">
              <w:rPr>
                <w:b/>
                <w:bCs/>
              </w:rPr>
              <w:t>nnual NHS cost saving</w:t>
            </w:r>
          </w:p>
        </w:tc>
        <w:tc>
          <w:tcPr>
            <w:tcW w:w="1898" w:type="pct"/>
            <w:tcBorders>
              <w:top w:val="single" w:sz="4" w:space="0" w:color="auto"/>
              <w:bottom w:val="nil"/>
            </w:tcBorders>
          </w:tcPr>
          <w:p w14:paraId="3C0965CA" w14:textId="77777777" w:rsidR="00D26E27" w:rsidRPr="006B620C" w:rsidRDefault="00D26E27" w:rsidP="00100744">
            <w:pPr>
              <w:rPr>
                <w:b/>
                <w:bCs/>
              </w:rPr>
            </w:pPr>
            <w:r>
              <w:rPr>
                <w:b/>
                <w:bCs/>
              </w:rPr>
              <w:t>Total discounted cost saving over 10 year appraisal period</w:t>
            </w:r>
          </w:p>
        </w:tc>
      </w:tr>
      <w:tr w:rsidR="00D26E27" w14:paraId="42EDE44E" w14:textId="77777777" w:rsidTr="00D26E27">
        <w:tc>
          <w:tcPr>
            <w:tcW w:w="1204" w:type="pct"/>
            <w:vMerge/>
            <w:tcBorders>
              <w:top w:val="nil"/>
              <w:bottom w:val="single" w:sz="4" w:space="0" w:color="auto"/>
            </w:tcBorders>
          </w:tcPr>
          <w:p w14:paraId="4E594BBB" w14:textId="77777777" w:rsidR="00D26E27" w:rsidRPr="006B620C" w:rsidRDefault="00D26E27" w:rsidP="00100744">
            <w:pPr>
              <w:rPr>
                <w:b/>
                <w:bCs/>
              </w:rPr>
            </w:pPr>
          </w:p>
        </w:tc>
        <w:tc>
          <w:tcPr>
            <w:tcW w:w="1898" w:type="pct"/>
            <w:tcBorders>
              <w:top w:val="nil"/>
              <w:bottom w:val="single" w:sz="4" w:space="0" w:color="auto"/>
            </w:tcBorders>
          </w:tcPr>
          <w:p w14:paraId="723065B9" w14:textId="4439662E" w:rsidR="00D26E27" w:rsidRPr="00B71CFE" w:rsidRDefault="005A7616" w:rsidP="00100744">
            <w:pPr>
              <w:rPr>
                <w:sz w:val="20"/>
                <w:szCs w:val="20"/>
              </w:rPr>
            </w:pPr>
            <w:r>
              <w:rPr>
                <w:sz w:val="20"/>
                <w:szCs w:val="20"/>
              </w:rPr>
              <w:t>2024</w:t>
            </w:r>
            <w:r w:rsidR="00D26E27">
              <w:rPr>
                <w:sz w:val="20"/>
                <w:szCs w:val="20"/>
              </w:rPr>
              <w:t xml:space="preserve"> prices</w:t>
            </w:r>
          </w:p>
        </w:tc>
        <w:tc>
          <w:tcPr>
            <w:tcW w:w="1898" w:type="pct"/>
            <w:tcBorders>
              <w:top w:val="nil"/>
              <w:bottom w:val="single" w:sz="4" w:space="0" w:color="auto"/>
            </w:tcBorders>
          </w:tcPr>
          <w:p w14:paraId="45BB7114" w14:textId="27C2D943" w:rsidR="00D26E27" w:rsidRPr="00B71CFE" w:rsidRDefault="006F3950" w:rsidP="00100744">
            <w:pPr>
              <w:rPr>
                <w:sz w:val="20"/>
                <w:szCs w:val="20"/>
              </w:rPr>
            </w:pPr>
            <w:r>
              <w:rPr>
                <w:sz w:val="20"/>
                <w:szCs w:val="20"/>
              </w:rPr>
              <w:t>2024</w:t>
            </w:r>
            <w:r w:rsidR="00D26E27">
              <w:rPr>
                <w:sz w:val="20"/>
                <w:szCs w:val="20"/>
              </w:rPr>
              <w:t xml:space="preserve"> prices</w:t>
            </w:r>
          </w:p>
        </w:tc>
      </w:tr>
      <w:tr w:rsidR="00D26E27" w14:paraId="00598A40" w14:textId="77777777" w:rsidTr="00D26E27">
        <w:tc>
          <w:tcPr>
            <w:tcW w:w="1204" w:type="pct"/>
            <w:tcBorders>
              <w:top w:val="single" w:sz="4" w:space="0" w:color="auto"/>
            </w:tcBorders>
          </w:tcPr>
          <w:p w14:paraId="3B5C6E96" w14:textId="77777777" w:rsidR="00D26E27" w:rsidRDefault="00D26E27" w:rsidP="00100744">
            <w:r>
              <w:t>Low</w:t>
            </w:r>
          </w:p>
        </w:tc>
        <w:tc>
          <w:tcPr>
            <w:tcW w:w="1898" w:type="pct"/>
            <w:tcBorders>
              <w:top w:val="single" w:sz="4" w:space="0" w:color="auto"/>
            </w:tcBorders>
          </w:tcPr>
          <w:p w14:paraId="1DB14D43" w14:textId="505E3D03" w:rsidR="00D26E27" w:rsidRDefault="00347DB2" w:rsidP="00100744">
            <w:r>
              <w:t>£</w:t>
            </w:r>
            <w:r w:rsidR="005A7616">
              <w:t>3,088</w:t>
            </w:r>
          </w:p>
        </w:tc>
        <w:tc>
          <w:tcPr>
            <w:tcW w:w="1898" w:type="pct"/>
            <w:tcBorders>
              <w:top w:val="single" w:sz="4" w:space="0" w:color="auto"/>
            </w:tcBorders>
          </w:tcPr>
          <w:p w14:paraId="35EDD6E3" w14:textId="1F62ECC0" w:rsidR="00D26E27" w:rsidRDefault="00EC0933" w:rsidP="00100744">
            <w:r>
              <w:t>£</w:t>
            </w:r>
            <w:r w:rsidR="006F3950">
              <w:t>26,581</w:t>
            </w:r>
          </w:p>
        </w:tc>
      </w:tr>
      <w:tr w:rsidR="00D26E27" w14:paraId="01FBFDF7" w14:textId="77777777" w:rsidTr="00D26E27">
        <w:tc>
          <w:tcPr>
            <w:tcW w:w="1204" w:type="pct"/>
          </w:tcPr>
          <w:p w14:paraId="06196D2E" w14:textId="77777777" w:rsidR="00D26E27" w:rsidRDefault="00D26E27" w:rsidP="00100744">
            <w:r>
              <w:t>Central</w:t>
            </w:r>
          </w:p>
        </w:tc>
        <w:tc>
          <w:tcPr>
            <w:tcW w:w="1898" w:type="pct"/>
          </w:tcPr>
          <w:p w14:paraId="3B7CC6A1" w14:textId="33098F56" w:rsidR="00D26E27" w:rsidRDefault="00F56DC9" w:rsidP="00100744">
            <w:r>
              <w:t>£</w:t>
            </w:r>
            <w:r w:rsidR="00FB33AC">
              <w:t>4,7</w:t>
            </w:r>
            <w:r w:rsidR="005A7616">
              <w:t>37</w:t>
            </w:r>
          </w:p>
        </w:tc>
        <w:tc>
          <w:tcPr>
            <w:tcW w:w="1898" w:type="pct"/>
          </w:tcPr>
          <w:p w14:paraId="3CDCE9A4" w14:textId="61F4B6A1" w:rsidR="00D26E27" w:rsidRDefault="00EC0933" w:rsidP="00100744">
            <w:r>
              <w:t>£</w:t>
            </w:r>
            <w:r w:rsidR="006F3950">
              <w:t>40,778</w:t>
            </w:r>
          </w:p>
        </w:tc>
      </w:tr>
      <w:tr w:rsidR="00D26E27" w14:paraId="0A5D391E" w14:textId="77777777" w:rsidTr="00D26E27">
        <w:tc>
          <w:tcPr>
            <w:tcW w:w="1204" w:type="pct"/>
          </w:tcPr>
          <w:p w14:paraId="3B4AA7D9" w14:textId="77777777" w:rsidR="00D26E27" w:rsidRDefault="00D26E27" w:rsidP="00100744">
            <w:r>
              <w:t>High</w:t>
            </w:r>
          </w:p>
        </w:tc>
        <w:tc>
          <w:tcPr>
            <w:tcW w:w="1898" w:type="pct"/>
          </w:tcPr>
          <w:p w14:paraId="7C4CBF56" w14:textId="0FDB640D" w:rsidR="00D26E27" w:rsidRDefault="00F56DC9" w:rsidP="00100744">
            <w:r>
              <w:t>£</w:t>
            </w:r>
            <w:r w:rsidR="005A7616">
              <w:t>6,738</w:t>
            </w:r>
          </w:p>
        </w:tc>
        <w:tc>
          <w:tcPr>
            <w:tcW w:w="1898" w:type="pct"/>
          </w:tcPr>
          <w:p w14:paraId="2755319E" w14:textId="346CAE6B" w:rsidR="00D26E27" w:rsidRDefault="00EC0933" w:rsidP="00100744">
            <w:r>
              <w:t>£</w:t>
            </w:r>
            <w:r w:rsidR="006F3950">
              <w:t>57,995</w:t>
            </w:r>
          </w:p>
        </w:tc>
      </w:tr>
    </w:tbl>
    <w:p w14:paraId="3564E8A6" w14:textId="204BE882" w:rsidR="00492345" w:rsidRPr="00FB623D" w:rsidRDefault="00492345" w:rsidP="00492345">
      <w:pPr>
        <w:jc w:val="right"/>
        <w:rPr>
          <w:sz w:val="20"/>
          <w:szCs w:val="20"/>
        </w:rPr>
      </w:pPr>
      <w:r w:rsidRPr="00FB623D">
        <w:rPr>
          <w:sz w:val="20"/>
          <w:szCs w:val="20"/>
        </w:rPr>
        <w:t xml:space="preserve">Source: FSS and DHSC calculations; </w:t>
      </w:r>
      <w:r w:rsidR="00F41D94">
        <w:rPr>
          <w:sz w:val="20"/>
          <w:szCs w:val="20"/>
        </w:rPr>
        <w:t>NHS England</w:t>
      </w:r>
      <w:r w:rsidR="00A150EE">
        <w:rPr>
          <w:sz w:val="20"/>
          <w:szCs w:val="20"/>
        </w:rPr>
        <w:t xml:space="preserve"> and Public Health Scotland data.</w:t>
      </w:r>
    </w:p>
    <w:p w14:paraId="7B3DFD58" w14:textId="77777777" w:rsidR="00492345" w:rsidRDefault="00492345" w:rsidP="00492345"/>
    <w:p w14:paraId="468503A7" w14:textId="0A4DB3A8" w:rsidR="00492345" w:rsidRDefault="60A8E8B3" w:rsidP="005D011F">
      <w:pPr>
        <w:pStyle w:val="Heading3"/>
      </w:pPr>
      <w:r>
        <w:t xml:space="preserve">Lifetime </w:t>
      </w:r>
      <w:r w:rsidR="2DB7F0B2">
        <w:t>earnings</w:t>
      </w:r>
      <w:r>
        <w:t xml:space="preserve"> gains of would-be NTD sufferers</w:t>
      </w:r>
    </w:p>
    <w:p w14:paraId="6511102C" w14:textId="77777777" w:rsidR="00492345" w:rsidRDefault="00492345" w:rsidP="00492345">
      <w:r>
        <w:t>People who suffer from Spina Bifida and Encephalocele are more likely to be out of work and have shorter life expectancies than those without. It is also likely they will earn less while in work due to their poorer health. Reducing the incidence of NTDs will therefore have a positive impact on the lifetime earnings of would-be NTD sufferers. This is in addition to the positive impacts on their quality of life, which should already be captured through QALY gains.</w:t>
      </w:r>
    </w:p>
    <w:p w14:paraId="5AA66317" w14:textId="77777777" w:rsidR="00492345" w:rsidRDefault="00492345" w:rsidP="00492345"/>
    <w:p w14:paraId="3C3453E7" w14:textId="3A5CA079" w:rsidR="00492345" w:rsidRDefault="00492345" w:rsidP="00492345">
      <w:r>
        <w:t xml:space="preserve">A range of studies exist that estimate the employment rate of NTD sufferers. Values range from 19% to 63% (as reported in </w:t>
      </w:r>
      <w:hyperlink r:id="rId28" w:history="1">
        <w:r w:rsidRPr="00A535F2">
          <w:rPr>
            <w:rStyle w:val="Hyperlink"/>
            <w:rFonts w:cstheme="minorBidi"/>
            <w:color w:val="0070C0"/>
          </w:rPr>
          <w:t>New Zealand Food Safety's Folic Acid Fortification Impact Assessment, 2019</w:t>
        </w:r>
      </w:hyperlink>
      <w:r>
        <w:t>), with many recent studies reporting employment rates between 36% and 42%.</w:t>
      </w:r>
    </w:p>
    <w:p w14:paraId="3E83A9FF" w14:textId="77777777" w:rsidR="00492345" w:rsidRDefault="00492345" w:rsidP="00492345"/>
    <w:p w14:paraId="5C1D76C0" w14:textId="21438CE8" w:rsidR="00492345" w:rsidRDefault="00492345" w:rsidP="00492345">
      <w:r w:rsidRPr="004E6725">
        <w:t>The employment rate for disabled people aged 16 to 64 in Scotland was 49.6% in 2021 (</w:t>
      </w:r>
      <w:hyperlink r:id="rId29" w:history="1">
        <w:r w:rsidRPr="00A535F2">
          <w:rPr>
            <w:rStyle w:val="Hyperlink"/>
            <w:rFonts w:cstheme="minorBidi"/>
            <w:color w:val="0070C0"/>
          </w:rPr>
          <w:t>Scottish Government, 2022</w:t>
        </w:r>
      </w:hyperlink>
      <w:r w:rsidRPr="004E6725">
        <w:t>). Given this includes other disabilities and conditions beyond NTDs, we assume a</w:t>
      </w:r>
      <w:r w:rsidR="00E53219" w:rsidRPr="004E6725">
        <w:t xml:space="preserve"> </w:t>
      </w:r>
      <w:r w:rsidRPr="004E6725">
        <w:t>40% employment rate for NTD sufferers instead</w:t>
      </w:r>
      <w:r w:rsidR="00477E54" w:rsidRPr="004E6725">
        <w:t xml:space="preserve"> in our central estimate</w:t>
      </w:r>
      <w:r w:rsidR="0087052A" w:rsidRPr="004E6725">
        <w:t xml:space="preserve"> (A18)</w:t>
      </w:r>
      <w:r w:rsidRPr="004E6725">
        <w:t>. This</w:t>
      </w:r>
      <w:r>
        <w:t xml:space="preserve"> </w:t>
      </w:r>
      <w:r w:rsidR="00BF0775">
        <w:t xml:space="preserve">brings it more in line with the literature, and could be taken to introduce an assumption </w:t>
      </w:r>
      <w:r>
        <w:t xml:space="preserve">that </w:t>
      </w:r>
      <w:r w:rsidRPr="00E26CF3">
        <w:t>the ‘average’ NTD sufferer may be slightly less likely to be employed than an ‘average’ disabled person</w:t>
      </w:r>
      <w:r w:rsidR="00BF0775" w:rsidRPr="00E26CF3">
        <w:t xml:space="preserve"> in Scotland</w:t>
      </w:r>
      <w:r w:rsidRPr="00E26CF3">
        <w:t>.</w:t>
      </w:r>
      <w:r w:rsidR="00E53219" w:rsidRPr="00E26CF3">
        <w:t xml:space="preserve"> Given the range of estimates in the literature, we also introduce a </w:t>
      </w:r>
      <w:r w:rsidR="002324ED" w:rsidRPr="00E26CF3">
        <w:t>30</w:t>
      </w:r>
      <w:r w:rsidR="00E53219" w:rsidRPr="00E26CF3">
        <w:t xml:space="preserve">% </w:t>
      </w:r>
      <w:r w:rsidR="00664C57" w:rsidRPr="00E26CF3">
        <w:t>and 50% employment rate for our high and low estimate, respectivel</w:t>
      </w:r>
      <w:r w:rsidR="00664C57" w:rsidRPr="00E26CF3">
        <w:rPr>
          <w:rFonts w:cstheme="minorHAnsi"/>
        </w:rPr>
        <w:t>y</w:t>
      </w:r>
      <w:r w:rsidR="000051AF" w:rsidRPr="00E26CF3">
        <w:rPr>
          <w:rFonts w:cstheme="minorHAnsi"/>
        </w:rPr>
        <w:t xml:space="preserve"> (A1</w:t>
      </w:r>
      <w:r w:rsidR="00C71865" w:rsidRPr="00E26CF3">
        <w:rPr>
          <w:rFonts w:cstheme="minorHAnsi"/>
        </w:rPr>
        <w:t>8</w:t>
      </w:r>
      <w:r w:rsidR="000051AF" w:rsidRPr="00E26CF3">
        <w:rPr>
          <w:rFonts w:cstheme="minorHAnsi"/>
        </w:rPr>
        <w:t>)</w:t>
      </w:r>
      <w:r w:rsidR="00664C57" w:rsidRPr="00E26CF3">
        <w:rPr>
          <w:rFonts w:cstheme="minorHAnsi"/>
        </w:rPr>
        <w:t>.</w:t>
      </w:r>
      <w:r w:rsidR="00664C57" w:rsidRPr="00E26CF3">
        <w:rPr>
          <w:rStyle w:val="FootnoteReference"/>
          <w:rFonts w:asciiTheme="minorHAnsi" w:hAnsiTheme="minorHAnsi" w:cstheme="minorHAnsi"/>
          <w:sz w:val="24"/>
        </w:rPr>
        <w:footnoteReference w:id="15"/>
      </w:r>
    </w:p>
    <w:p w14:paraId="716178CA" w14:textId="77777777" w:rsidR="00492345" w:rsidRDefault="00492345" w:rsidP="00492345"/>
    <w:p w14:paraId="4363E3CE" w14:textId="7B6ADD9F" w:rsidR="00492345" w:rsidRDefault="00492345" w:rsidP="00492345">
      <w:r>
        <w:t>We do not have data on the wages of people with NTDs, but note that disabled people have lower median wages than non-disabled people. Analysis of the most recent UK census (</w:t>
      </w:r>
      <w:hyperlink r:id="rId30" w:anchor="pay-gaps-by-uk-country" w:history="1">
        <w:r w:rsidRPr="00A535F2">
          <w:rPr>
            <w:rStyle w:val="Hyperlink"/>
            <w:rFonts w:cstheme="minorBidi"/>
            <w:color w:val="0070C0"/>
          </w:rPr>
          <w:t>Disability Pay Gaps in the UK: 2021, ONS, 2022</w:t>
        </w:r>
      </w:hyperlink>
      <w:r>
        <w:t xml:space="preserve">) shows that Scotland had the widest disability pay gap of any UK country in 2021. A disabled employees’ median pay was £11.54 per hour, 18.5% less than non-disabled employees (£14.16 per hour) in Scotland. </w:t>
      </w:r>
      <w:r w:rsidRPr="00661C52">
        <w:t xml:space="preserve">In </w:t>
      </w:r>
      <w:r w:rsidR="00264F53" w:rsidRPr="00640D79">
        <w:t>2024</w:t>
      </w:r>
      <w:r w:rsidRPr="00640D79">
        <w:t xml:space="preserve"> prices, this is</w:t>
      </w:r>
      <w:r w:rsidR="00192951" w:rsidRPr="00640D79">
        <w:t xml:space="preserve"> an assumed wage of</w:t>
      </w:r>
      <w:r w:rsidRPr="00640D79">
        <w:t xml:space="preserve"> £</w:t>
      </w:r>
      <w:r w:rsidR="00491596" w:rsidRPr="00640D79">
        <w:t>13.</w:t>
      </w:r>
      <w:r w:rsidR="00D75ED3" w:rsidRPr="00640D79">
        <w:t>28</w:t>
      </w:r>
      <w:r w:rsidRPr="00640D79">
        <w:t xml:space="preserve"> (</w:t>
      </w:r>
      <w:r w:rsidR="00D75ED3" w:rsidRPr="00640D79">
        <w:t>disabled</w:t>
      </w:r>
      <w:r w:rsidRPr="00640D79">
        <w:t>) and £</w:t>
      </w:r>
      <w:r w:rsidR="00D75ED3" w:rsidRPr="00640D79">
        <w:t>16.</w:t>
      </w:r>
      <w:r w:rsidR="00A929CE" w:rsidRPr="00640D79">
        <w:t>29</w:t>
      </w:r>
      <w:r w:rsidRPr="00640D79">
        <w:t xml:space="preserve"> (</w:t>
      </w:r>
      <w:r w:rsidR="00D75ED3" w:rsidRPr="00640D79">
        <w:t>non-disabled</w:t>
      </w:r>
      <w:r w:rsidRPr="00640D79">
        <w:t>).</w:t>
      </w:r>
      <w:r w:rsidR="00DC1817" w:rsidRPr="00640D79">
        <w:t xml:space="preserve"> Assuming </w:t>
      </w:r>
      <w:r w:rsidR="003010B0" w:rsidRPr="00640D79">
        <w:t xml:space="preserve">that wages for disabled people in general are representative of those with NTDs, </w:t>
      </w:r>
      <w:r w:rsidR="006020CF" w:rsidRPr="00640D79">
        <w:t xml:space="preserve">and assuming </w:t>
      </w:r>
      <w:r w:rsidR="00DC1817" w:rsidRPr="00640D79">
        <w:t xml:space="preserve">a </w:t>
      </w:r>
      <w:r w:rsidR="00DC1817" w:rsidRPr="00640D79">
        <w:rPr>
          <w:rFonts w:cstheme="minorHAnsi"/>
        </w:rPr>
        <w:t>52 week year, 36</w:t>
      </w:r>
      <w:r w:rsidR="00CD1B4C" w:rsidRPr="00640D79">
        <w:rPr>
          <w:rFonts w:cstheme="minorHAnsi"/>
        </w:rPr>
        <w:t>.375</w:t>
      </w:r>
      <w:r w:rsidR="00DC1817" w:rsidRPr="00640D79">
        <w:rPr>
          <w:rFonts w:cstheme="minorHAnsi"/>
        </w:rPr>
        <w:t xml:space="preserve"> hour working week</w:t>
      </w:r>
      <w:r w:rsidR="00C2151A" w:rsidRPr="00640D79">
        <w:rPr>
          <w:rStyle w:val="FootnoteReference"/>
          <w:rFonts w:asciiTheme="minorHAnsi" w:hAnsiTheme="minorHAnsi" w:cstheme="minorHAnsi"/>
          <w:sz w:val="24"/>
        </w:rPr>
        <w:footnoteReference w:id="16"/>
      </w:r>
      <w:r w:rsidR="00DC1817" w:rsidRPr="00640D79">
        <w:rPr>
          <w:rFonts w:cstheme="minorHAnsi"/>
        </w:rPr>
        <w:t xml:space="preserve">, and </w:t>
      </w:r>
      <w:r w:rsidR="00CD1B4C" w:rsidRPr="00640D79">
        <w:rPr>
          <w:rFonts w:cstheme="minorHAnsi"/>
        </w:rPr>
        <w:t>a working age between 15-64</w:t>
      </w:r>
      <w:r w:rsidR="00640D79" w:rsidRPr="00640D79">
        <w:rPr>
          <w:rFonts w:cstheme="minorHAnsi"/>
        </w:rPr>
        <w:t xml:space="preserve"> (A19)</w:t>
      </w:r>
      <w:r w:rsidR="00816BFC" w:rsidRPr="00640D79">
        <w:rPr>
          <w:rFonts w:cstheme="minorHAnsi"/>
        </w:rPr>
        <w:t xml:space="preserve">, </w:t>
      </w:r>
      <w:r w:rsidR="00192951" w:rsidRPr="00640D79">
        <w:rPr>
          <w:rFonts w:cstheme="minorHAnsi"/>
        </w:rPr>
        <w:t>we</w:t>
      </w:r>
      <w:r w:rsidR="00192951" w:rsidRPr="00DC60DB">
        <w:rPr>
          <w:rFonts w:cstheme="minorHAnsi"/>
        </w:rPr>
        <w:t xml:space="preserve"> </w:t>
      </w:r>
      <w:r w:rsidR="00BB0EAC" w:rsidRPr="00DC60DB">
        <w:rPr>
          <w:rFonts w:cstheme="minorHAnsi"/>
        </w:rPr>
        <w:t>can calculate the annual difference in earnings</w:t>
      </w:r>
      <w:r w:rsidR="00103B15" w:rsidRPr="00DC60DB">
        <w:rPr>
          <w:rFonts w:cstheme="minorHAnsi"/>
        </w:rPr>
        <w:t>.</w:t>
      </w:r>
    </w:p>
    <w:p w14:paraId="6A272A94" w14:textId="77777777" w:rsidR="00492345" w:rsidRDefault="00492345" w:rsidP="00492345"/>
    <w:p w14:paraId="452A9424" w14:textId="6DD71128" w:rsidR="00492345" w:rsidRDefault="00492345" w:rsidP="00492345">
      <w:r>
        <w:t xml:space="preserve">Accounting for (a) higher wages, (b) higher employment rates, and (c) longer life expectancy of non-NTD sufferers suggests that the total discounted renumerations experienced by the cohorts born during the 10-year appraisal </w:t>
      </w:r>
      <w:r w:rsidRPr="00573773">
        <w:t>period would be £</w:t>
      </w:r>
      <w:r w:rsidR="0045005E" w:rsidRPr="00573773">
        <w:t>6.3</w:t>
      </w:r>
      <w:r w:rsidRPr="00573773">
        <w:t>m</w:t>
      </w:r>
      <w:r w:rsidR="0012472E" w:rsidRPr="00573773">
        <w:t xml:space="preserve"> over</w:t>
      </w:r>
      <w:r w:rsidR="0012472E">
        <w:t xml:space="preserve"> their lifetime, in the central estimate.</w:t>
      </w:r>
    </w:p>
    <w:p w14:paraId="527B09BA" w14:textId="77777777" w:rsidR="007E5F89" w:rsidRDefault="007E5F89" w:rsidP="00492345"/>
    <w:p w14:paraId="4D12D750" w14:textId="222D91EA" w:rsidR="007E5F89" w:rsidRPr="00A535F2" w:rsidRDefault="007E5F89" w:rsidP="007E5F89">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19</w:t>
      </w:r>
      <w:r w:rsidR="00000F90" w:rsidRPr="00A535F2">
        <w:rPr>
          <w:noProof/>
          <w:color w:val="auto"/>
        </w:rPr>
        <w:fldChar w:fldCharType="end"/>
      </w:r>
      <w:r w:rsidRPr="00A535F2">
        <w:rPr>
          <w:color w:val="auto"/>
        </w:rPr>
        <w:t xml:space="preserve">. </w:t>
      </w:r>
      <w:r w:rsidR="00F9122B" w:rsidRPr="00A535F2">
        <w:rPr>
          <w:color w:val="auto"/>
        </w:rPr>
        <w:t xml:space="preserve">Increase </w:t>
      </w:r>
      <w:r w:rsidR="00AE385A" w:rsidRPr="00A535F2">
        <w:rPr>
          <w:color w:val="auto"/>
        </w:rPr>
        <w:t xml:space="preserve">in </w:t>
      </w:r>
      <w:r w:rsidR="00F9122B" w:rsidRPr="00A535F2">
        <w:rPr>
          <w:color w:val="auto"/>
        </w:rPr>
        <w:t>lifetime earnings for would-be NTD sufferers</w:t>
      </w:r>
      <w:r w:rsidR="003521B5" w:rsidRPr="00A535F2">
        <w:rPr>
          <w:color w:val="auto"/>
        </w:rPr>
        <w:t xml:space="preserve"> (central estimate)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292"/>
        <w:gridCol w:w="1930"/>
        <w:gridCol w:w="2072"/>
        <w:gridCol w:w="1719"/>
        <w:gridCol w:w="1733"/>
      </w:tblGrid>
      <w:tr w:rsidR="00070174" w14:paraId="6BFD97C1" w14:textId="77777777" w:rsidTr="00070174">
        <w:trPr>
          <w:trHeight w:val="893"/>
        </w:trPr>
        <w:tc>
          <w:tcPr>
            <w:tcW w:w="1176" w:type="pct"/>
            <w:vMerge w:val="restart"/>
            <w:tcBorders>
              <w:top w:val="single" w:sz="4" w:space="0" w:color="auto"/>
            </w:tcBorders>
          </w:tcPr>
          <w:p w14:paraId="0D820445" w14:textId="77777777" w:rsidR="00070174" w:rsidRPr="006B620C" w:rsidRDefault="00070174" w:rsidP="00100744">
            <w:pPr>
              <w:rPr>
                <w:b/>
                <w:bCs/>
              </w:rPr>
            </w:pPr>
            <w:r>
              <w:rPr>
                <w:b/>
                <w:bCs/>
              </w:rPr>
              <w:t>N</w:t>
            </w:r>
            <w:r w:rsidRPr="006B620C">
              <w:rPr>
                <w:b/>
                <w:bCs/>
              </w:rPr>
              <w:t>TD</w:t>
            </w:r>
          </w:p>
        </w:tc>
        <w:tc>
          <w:tcPr>
            <w:tcW w:w="990" w:type="pct"/>
            <w:tcBorders>
              <w:top w:val="single" w:sz="4" w:space="0" w:color="auto"/>
            </w:tcBorders>
          </w:tcPr>
          <w:p w14:paraId="4FEA80B7" w14:textId="77777777" w:rsidR="00070174" w:rsidRPr="006B620C" w:rsidRDefault="00070174" w:rsidP="00100744">
            <w:pPr>
              <w:rPr>
                <w:b/>
                <w:bCs/>
              </w:rPr>
            </w:pPr>
            <w:r>
              <w:rPr>
                <w:b/>
                <w:bCs/>
              </w:rPr>
              <w:t>Assumed life expectancy</w:t>
            </w:r>
          </w:p>
        </w:tc>
        <w:tc>
          <w:tcPr>
            <w:tcW w:w="1063" w:type="pct"/>
            <w:tcBorders>
              <w:top w:val="single" w:sz="4" w:space="0" w:color="auto"/>
            </w:tcBorders>
          </w:tcPr>
          <w:p w14:paraId="7258C86A" w14:textId="77777777" w:rsidR="00070174" w:rsidRDefault="00070174" w:rsidP="00100744">
            <w:pPr>
              <w:rPr>
                <w:b/>
                <w:bCs/>
              </w:rPr>
            </w:pPr>
            <w:r>
              <w:rPr>
                <w:b/>
                <w:bCs/>
              </w:rPr>
              <w:t>Assumed employment rate</w:t>
            </w:r>
          </w:p>
        </w:tc>
        <w:tc>
          <w:tcPr>
            <w:tcW w:w="882" w:type="pct"/>
            <w:tcBorders>
              <w:top w:val="single" w:sz="4" w:space="0" w:color="auto"/>
            </w:tcBorders>
          </w:tcPr>
          <w:p w14:paraId="530D85D7" w14:textId="44FFC490" w:rsidR="00070174" w:rsidRPr="006B620C" w:rsidRDefault="00070174" w:rsidP="00100744">
            <w:pPr>
              <w:rPr>
                <w:b/>
                <w:bCs/>
              </w:rPr>
            </w:pPr>
            <w:r>
              <w:rPr>
                <w:b/>
                <w:bCs/>
              </w:rPr>
              <w:t xml:space="preserve">Assumed </w:t>
            </w:r>
            <w:r w:rsidR="002573CB">
              <w:rPr>
                <w:b/>
                <w:bCs/>
              </w:rPr>
              <w:t>annual income gain</w:t>
            </w:r>
          </w:p>
        </w:tc>
        <w:tc>
          <w:tcPr>
            <w:tcW w:w="889" w:type="pct"/>
            <w:tcBorders>
              <w:top w:val="single" w:sz="4" w:space="0" w:color="auto"/>
            </w:tcBorders>
          </w:tcPr>
          <w:p w14:paraId="48D46258" w14:textId="61321F88" w:rsidR="00070174" w:rsidRDefault="00070174" w:rsidP="00100744">
            <w:pPr>
              <w:rPr>
                <w:b/>
                <w:bCs/>
              </w:rPr>
            </w:pPr>
            <w:r>
              <w:rPr>
                <w:b/>
                <w:bCs/>
              </w:rPr>
              <w:t xml:space="preserve">Estimated </w:t>
            </w:r>
            <w:r w:rsidR="00AA1388">
              <w:rPr>
                <w:b/>
                <w:bCs/>
              </w:rPr>
              <w:t xml:space="preserve">total </w:t>
            </w:r>
            <w:r>
              <w:rPr>
                <w:b/>
                <w:bCs/>
              </w:rPr>
              <w:t>discounted lifetime earnings gain</w:t>
            </w:r>
          </w:p>
        </w:tc>
      </w:tr>
      <w:tr w:rsidR="00070174" w14:paraId="183AC869" w14:textId="77777777" w:rsidTr="00070174">
        <w:tc>
          <w:tcPr>
            <w:tcW w:w="1176" w:type="pct"/>
            <w:vMerge/>
            <w:tcBorders>
              <w:bottom w:val="single" w:sz="4" w:space="0" w:color="auto"/>
            </w:tcBorders>
          </w:tcPr>
          <w:p w14:paraId="7AB3B8B4" w14:textId="77777777" w:rsidR="00070174" w:rsidRDefault="00070174" w:rsidP="00100744"/>
        </w:tc>
        <w:tc>
          <w:tcPr>
            <w:tcW w:w="990" w:type="pct"/>
            <w:tcBorders>
              <w:bottom w:val="single" w:sz="4" w:space="0" w:color="auto"/>
            </w:tcBorders>
          </w:tcPr>
          <w:p w14:paraId="5BC1B951" w14:textId="77777777" w:rsidR="00070174" w:rsidRPr="00FB387B" w:rsidRDefault="00070174" w:rsidP="00100744">
            <w:pPr>
              <w:rPr>
                <w:sz w:val="20"/>
                <w:szCs w:val="20"/>
              </w:rPr>
            </w:pPr>
            <w:r w:rsidRPr="00FB387B">
              <w:rPr>
                <w:sz w:val="20"/>
                <w:szCs w:val="20"/>
              </w:rPr>
              <w:t>Years</w:t>
            </w:r>
          </w:p>
        </w:tc>
        <w:tc>
          <w:tcPr>
            <w:tcW w:w="1063" w:type="pct"/>
            <w:tcBorders>
              <w:bottom w:val="single" w:sz="4" w:space="0" w:color="auto"/>
            </w:tcBorders>
          </w:tcPr>
          <w:p w14:paraId="31EF2FDE" w14:textId="77777777" w:rsidR="00070174" w:rsidRPr="00FB387B" w:rsidRDefault="00070174" w:rsidP="00100744">
            <w:pPr>
              <w:rPr>
                <w:sz w:val="20"/>
                <w:szCs w:val="20"/>
              </w:rPr>
            </w:pPr>
            <w:r w:rsidRPr="00FB387B">
              <w:rPr>
                <w:sz w:val="20"/>
                <w:szCs w:val="20"/>
              </w:rPr>
              <w:t>Percentage (%)</w:t>
            </w:r>
          </w:p>
        </w:tc>
        <w:tc>
          <w:tcPr>
            <w:tcW w:w="882" w:type="pct"/>
            <w:tcBorders>
              <w:bottom w:val="single" w:sz="4" w:space="0" w:color="auto"/>
            </w:tcBorders>
          </w:tcPr>
          <w:p w14:paraId="400C3084" w14:textId="60FD48C6" w:rsidR="00070174" w:rsidRPr="00FB387B" w:rsidRDefault="00574378" w:rsidP="00100744">
            <w:pPr>
              <w:rPr>
                <w:sz w:val="20"/>
                <w:szCs w:val="20"/>
              </w:rPr>
            </w:pPr>
            <w:r>
              <w:rPr>
                <w:sz w:val="20"/>
                <w:szCs w:val="20"/>
              </w:rPr>
              <w:t>2024</w:t>
            </w:r>
            <w:r w:rsidR="00070174" w:rsidRPr="00FB387B">
              <w:rPr>
                <w:sz w:val="20"/>
                <w:szCs w:val="20"/>
              </w:rPr>
              <w:t xml:space="preserve"> prices</w:t>
            </w:r>
          </w:p>
        </w:tc>
        <w:tc>
          <w:tcPr>
            <w:tcW w:w="889" w:type="pct"/>
            <w:tcBorders>
              <w:bottom w:val="single" w:sz="4" w:space="0" w:color="auto"/>
            </w:tcBorders>
          </w:tcPr>
          <w:p w14:paraId="2EADFBC4" w14:textId="0EB8ED3D" w:rsidR="00070174" w:rsidRPr="00FB387B" w:rsidRDefault="00404B76" w:rsidP="00100744">
            <w:pPr>
              <w:rPr>
                <w:sz w:val="20"/>
                <w:szCs w:val="20"/>
              </w:rPr>
            </w:pPr>
            <w:r>
              <w:rPr>
                <w:sz w:val="20"/>
                <w:szCs w:val="20"/>
              </w:rPr>
              <w:t>2024</w:t>
            </w:r>
            <w:r w:rsidR="00070174" w:rsidRPr="00FB387B">
              <w:rPr>
                <w:sz w:val="20"/>
                <w:szCs w:val="20"/>
              </w:rPr>
              <w:t xml:space="preserve"> prices</w:t>
            </w:r>
          </w:p>
        </w:tc>
      </w:tr>
      <w:tr w:rsidR="00070174" w14:paraId="7439B906" w14:textId="77777777" w:rsidTr="00070174">
        <w:tc>
          <w:tcPr>
            <w:tcW w:w="1176" w:type="pct"/>
            <w:tcBorders>
              <w:top w:val="single" w:sz="4" w:space="0" w:color="auto"/>
            </w:tcBorders>
          </w:tcPr>
          <w:p w14:paraId="222710F4" w14:textId="77777777" w:rsidR="00070174" w:rsidRDefault="00070174" w:rsidP="00100744">
            <w:r>
              <w:t>Anencephaly</w:t>
            </w:r>
          </w:p>
        </w:tc>
        <w:tc>
          <w:tcPr>
            <w:tcW w:w="990" w:type="pct"/>
            <w:tcBorders>
              <w:top w:val="single" w:sz="4" w:space="0" w:color="auto"/>
            </w:tcBorders>
          </w:tcPr>
          <w:p w14:paraId="4FC22BF1" w14:textId="77777777" w:rsidR="00070174" w:rsidRDefault="00070174" w:rsidP="00100744">
            <w:r>
              <w:t>0</w:t>
            </w:r>
          </w:p>
        </w:tc>
        <w:tc>
          <w:tcPr>
            <w:tcW w:w="1063" w:type="pct"/>
            <w:tcBorders>
              <w:top w:val="single" w:sz="4" w:space="0" w:color="auto"/>
            </w:tcBorders>
          </w:tcPr>
          <w:p w14:paraId="671CAB71" w14:textId="56B3795B" w:rsidR="00070174" w:rsidRDefault="00874836" w:rsidP="00100744">
            <w:r>
              <w:t>..</w:t>
            </w:r>
          </w:p>
        </w:tc>
        <w:tc>
          <w:tcPr>
            <w:tcW w:w="882" w:type="pct"/>
            <w:tcBorders>
              <w:top w:val="single" w:sz="4" w:space="0" w:color="auto"/>
            </w:tcBorders>
          </w:tcPr>
          <w:p w14:paraId="51EA07A9" w14:textId="66737ED8" w:rsidR="00070174" w:rsidRDefault="008D2C91" w:rsidP="00100744">
            <w:r>
              <w:t>£23,</w:t>
            </w:r>
            <w:r w:rsidR="00524C52">
              <w:t>385</w:t>
            </w:r>
          </w:p>
        </w:tc>
        <w:tc>
          <w:tcPr>
            <w:tcW w:w="889" w:type="pct"/>
            <w:tcBorders>
              <w:top w:val="single" w:sz="4" w:space="0" w:color="auto"/>
            </w:tcBorders>
          </w:tcPr>
          <w:p w14:paraId="1A34B0AB" w14:textId="20B0FBF4" w:rsidR="00070174" w:rsidRDefault="00070174" w:rsidP="00100744">
            <w:r>
              <w:t>£</w:t>
            </w:r>
            <w:r w:rsidR="00361371">
              <w:t>1.</w:t>
            </w:r>
            <w:r w:rsidR="009010B5">
              <w:t>0</w:t>
            </w:r>
            <w:r w:rsidR="00383B1F">
              <w:t>m</w:t>
            </w:r>
          </w:p>
        </w:tc>
      </w:tr>
      <w:tr w:rsidR="00070174" w14:paraId="5D8280DC" w14:textId="77777777" w:rsidTr="00070174">
        <w:tc>
          <w:tcPr>
            <w:tcW w:w="1176" w:type="pct"/>
          </w:tcPr>
          <w:p w14:paraId="657C104A" w14:textId="77777777" w:rsidR="00070174" w:rsidRDefault="00070174" w:rsidP="00100744">
            <w:r>
              <w:t>Encephalocele</w:t>
            </w:r>
          </w:p>
        </w:tc>
        <w:tc>
          <w:tcPr>
            <w:tcW w:w="990" w:type="pct"/>
          </w:tcPr>
          <w:p w14:paraId="6389E37D" w14:textId="77777777" w:rsidR="00070174" w:rsidRDefault="00070174" w:rsidP="00100744">
            <w:r>
              <w:t>43</w:t>
            </w:r>
          </w:p>
        </w:tc>
        <w:tc>
          <w:tcPr>
            <w:tcW w:w="1063" w:type="pct"/>
          </w:tcPr>
          <w:p w14:paraId="3BE90EDF" w14:textId="77777777" w:rsidR="00070174" w:rsidRDefault="00070174" w:rsidP="00100744">
            <w:r>
              <w:t>40</w:t>
            </w:r>
          </w:p>
        </w:tc>
        <w:tc>
          <w:tcPr>
            <w:tcW w:w="882" w:type="pct"/>
          </w:tcPr>
          <w:p w14:paraId="76EC6064" w14:textId="4311D462" w:rsidR="00070174" w:rsidRDefault="00A37A95" w:rsidP="00100744">
            <w:r>
              <w:t>£13,338</w:t>
            </w:r>
          </w:p>
        </w:tc>
        <w:tc>
          <w:tcPr>
            <w:tcW w:w="889" w:type="pct"/>
          </w:tcPr>
          <w:p w14:paraId="653AE54C" w14:textId="27F60A63" w:rsidR="00070174" w:rsidRDefault="00070174" w:rsidP="00100744">
            <w:r>
              <w:t>£</w:t>
            </w:r>
            <w:r w:rsidR="00AF4238">
              <w:t>1.2</w:t>
            </w:r>
            <w:r>
              <w:t>m</w:t>
            </w:r>
          </w:p>
        </w:tc>
      </w:tr>
      <w:tr w:rsidR="00070174" w14:paraId="1A1936B5" w14:textId="77777777" w:rsidTr="00070174">
        <w:tc>
          <w:tcPr>
            <w:tcW w:w="1176" w:type="pct"/>
            <w:tcBorders>
              <w:bottom w:val="single" w:sz="4" w:space="0" w:color="auto"/>
            </w:tcBorders>
          </w:tcPr>
          <w:p w14:paraId="729671FA" w14:textId="77777777" w:rsidR="00070174" w:rsidRDefault="00070174" w:rsidP="00100744">
            <w:r>
              <w:t>Spina Bifida</w:t>
            </w:r>
          </w:p>
        </w:tc>
        <w:tc>
          <w:tcPr>
            <w:tcW w:w="990" w:type="pct"/>
            <w:tcBorders>
              <w:bottom w:val="single" w:sz="4" w:space="0" w:color="auto"/>
            </w:tcBorders>
          </w:tcPr>
          <w:p w14:paraId="109F7FE8" w14:textId="77777777" w:rsidR="00070174" w:rsidRDefault="00070174" w:rsidP="00100744">
            <w:r>
              <w:t>43</w:t>
            </w:r>
          </w:p>
        </w:tc>
        <w:tc>
          <w:tcPr>
            <w:tcW w:w="1063" w:type="pct"/>
            <w:tcBorders>
              <w:bottom w:val="single" w:sz="4" w:space="0" w:color="auto"/>
            </w:tcBorders>
          </w:tcPr>
          <w:p w14:paraId="51FA92F7" w14:textId="77777777" w:rsidR="00070174" w:rsidRDefault="00070174" w:rsidP="00100744">
            <w:r>
              <w:t>40</w:t>
            </w:r>
          </w:p>
        </w:tc>
        <w:tc>
          <w:tcPr>
            <w:tcW w:w="882" w:type="pct"/>
            <w:tcBorders>
              <w:bottom w:val="single" w:sz="4" w:space="0" w:color="auto"/>
            </w:tcBorders>
          </w:tcPr>
          <w:p w14:paraId="14E4E39A" w14:textId="1B2F8CA2" w:rsidR="00070174" w:rsidRDefault="00A37A95" w:rsidP="00100744">
            <w:r>
              <w:t>£13,338</w:t>
            </w:r>
          </w:p>
        </w:tc>
        <w:tc>
          <w:tcPr>
            <w:tcW w:w="889" w:type="pct"/>
            <w:tcBorders>
              <w:bottom w:val="single" w:sz="4" w:space="0" w:color="auto"/>
            </w:tcBorders>
          </w:tcPr>
          <w:p w14:paraId="2BFC4491" w14:textId="0420C766" w:rsidR="00070174" w:rsidRDefault="00070174" w:rsidP="00100744">
            <w:r>
              <w:t>£</w:t>
            </w:r>
            <w:r w:rsidR="006E1234">
              <w:t>4.2</w:t>
            </w:r>
            <w:r>
              <w:t>m</w:t>
            </w:r>
          </w:p>
        </w:tc>
      </w:tr>
      <w:tr w:rsidR="00070174" w14:paraId="75646E64" w14:textId="77777777" w:rsidTr="00070174">
        <w:tc>
          <w:tcPr>
            <w:tcW w:w="1176" w:type="pct"/>
            <w:tcBorders>
              <w:top w:val="single" w:sz="4" w:space="0" w:color="auto"/>
              <w:bottom w:val="single" w:sz="4" w:space="0" w:color="auto"/>
            </w:tcBorders>
          </w:tcPr>
          <w:p w14:paraId="54548456" w14:textId="77777777" w:rsidR="00070174" w:rsidRPr="00AB56FC" w:rsidRDefault="00070174" w:rsidP="00100744">
            <w:r>
              <w:rPr>
                <w:b/>
                <w:bCs/>
              </w:rPr>
              <w:t>Total</w:t>
            </w:r>
          </w:p>
        </w:tc>
        <w:tc>
          <w:tcPr>
            <w:tcW w:w="990" w:type="pct"/>
            <w:tcBorders>
              <w:top w:val="single" w:sz="4" w:space="0" w:color="auto"/>
              <w:bottom w:val="single" w:sz="4" w:space="0" w:color="auto"/>
            </w:tcBorders>
          </w:tcPr>
          <w:p w14:paraId="4965B521" w14:textId="3829E9D4" w:rsidR="00070174" w:rsidRPr="00FB387B" w:rsidRDefault="00070174" w:rsidP="00100744">
            <w:pPr>
              <w:rPr>
                <w:b/>
                <w:bCs/>
              </w:rPr>
            </w:pPr>
            <w:r w:rsidRPr="00FB387B">
              <w:rPr>
                <w:b/>
                <w:bCs/>
              </w:rPr>
              <w:t>..</w:t>
            </w:r>
          </w:p>
        </w:tc>
        <w:tc>
          <w:tcPr>
            <w:tcW w:w="1063" w:type="pct"/>
            <w:tcBorders>
              <w:top w:val="single" w:sz="4" w:space="0" w:color="auto"/>
              <w:bottom w:val="single" w:sz="4" w:space="0" w:color="auto"/>
            </w:tcBorders>
          </w:tcPr>
          <w:p w14:paraId="5DE27D51" w14:textId="7BC999EC" w:rsidR="00070174" w:rsidRPr="00FB387B" w:rsidRDefault="00070174" w:rsidP="00100744">
            <w:pPr>
              <w:rPr>
                <w:b/>
                <w:bCs/>
              </w:rPr>
            </w:pPr>
            <w:r w:rsidRPr="00FB387B">
              <w:rPr>
                <w:b/>
                <w:bCs/>
              </w:rPr>
              <w:t>..</w:t>
            </w:r>
          </w:p>
        </w:tc>
        <w:tc>
          <w:tcPr>
            <w:tcW w:w="882" w:type="pct"/>
            <w:tcBorders>
              <w:top w:val="single" w:sz="4" w:space="0" w:color="auto"/>
              <w:bottom w:val="single" w:sz="4" w:space="0" w:color="auto"/>
            </w:tcBorders>
          </w:tcPr>
          <w:p w14:paraId="54EE6D75" w14:textId="57D472AD" w:rsidR="00070174" w:rsidRPr="00FB387B" w:rsidRDefault="00070174" w:rsidP="00100744">
            <w:pPr>
              <w:rPr>
                <w:b/>
                <w:bCs/>
              </w:rPr>
            </w:pPr>
            <w:r>
              <w:rPr>
                <w:b/>
                <w:bCs/>
              </w:rPr>
              <w:t>..</w:t>
            </w:r>
          </w:p>
        </w:tc>
        <w:tc>
          <w:tcPr>
            <w:tcW w:w="889" w:type="pct"/>
            <w:tcBorders>
              <w:top w:val="single" w:sz="4" w:space="0" w:color="auto"/>
              <w:bottom w:val="single" w:sz="4" w:space="0" w:color="auto"/>
            </w:tcBorders>
          </w:tcPr>
          <w:p w14:paraId="59EA03F5" w14:textId="7468D22A" w:rsidR="00070174" w:rsidRPr="00FB387B" w:rsidRDefault="001D637E" w:rsidP="00100744">
            <w:pPr>
              <w:rPr>
                <w:b/>
                <w:bCs/>
              </w:rPr>
            </w:pPr>
            <w:r>
              <w:rPr>
                <w:b/>
                <w:bCs/>
              </w:rPr>
              <w:t>£</w:t>
            </w:r>
            <w:r w:rsidR="00E032CD">
              <w:rPr>
                <w:b/>
                <w:bCs/>
              </w:rPr>
              <w:t>6.3</w:t>
            </w:r>
            <w:r>
              <w:rPr>
                <w:b/>
                <w:bCs/>
              </w:rPr>
              <w:t>m</w:t>
            </w:r>
          </w:p>
        </w:tc>
      </w:tr>
    </w:tbl>
    <w:p w14:paraId="28EBEBA4" w14:textId="77777777" w:rsidR="00492345" w:rsidRDefault="00492345" w:rsidP="00492345"/>
    <w:p w14:paraId="414627EF" w14:textId="4F766774" w:rsidR="008B195F" w:rsidRDefault="00492345" w:rsidP="008B195F">
      <w:r w:rsidRPr="00370FDE">
        <w:t>‘</w:t>
      </w:r>
      <w:r w:rsidR="003D02DC" w:rsidRPr="00370FDE">
        <w:t>L</w:t>
      </w:r>
      <w:r w:rsidRPr="00370FDE">
        <w:t xml:space="preserve">ifetime earnings’ here are assumed to be the median wage multiplied by the years in spent working age (taken to mean from </w:t>
      </w:r>
      <w:r w:rsidR="007D71E7" w:rsidRPr="00370FDE">
        <w:t>15 to 64</w:t>
      </w:r>
      <w:r w:rsidRPr="00370FDE">
        <w:t xml:space="preserve"> years old). This may not fully take into account an individual’s career and wage progression through their working years, or the potential of would-be NTD sufferers to choose a different career path </w:t>
      </w:r>
      <w:r w:rsidR="00247C25" w:rsidRPr="00370FDE">
        <w:t xml:space="preserve">or working pattern </w:t>
      </w:r>
      <w:r w:rsidRPr="00370FDE">
        <w:t>with potentially different earnings.</w:t>
      </w:r>
    </w:p>
    <w:p w14:paraId="55D09062" w14:textId="77777777" w:rsidR="008B195F" w:rsidRDefault="008B195F" w:rsidP="008B195F"/>
    <w:p w14:paraId="072C8CF1" w14:textId="7F33CE27" w:rsidR="00AE385A" w:rsidRPr="00A535F2" w:rsidRDefault="00AE385A" w:rsidP="00AE385A">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20</w:t>
      </w:r>
      <w:r w:rsidR="00000F90" w:rsidRPr="00A535F2">
        <w:rPr>
          <w:noProof/>
          <w:color w:val="auto"/>
        </w:rPr>
        <w:fldChar w:fldCharType="end"/>
      </w:r>
      <w:r w:rsidRPr="00A535F2">
        <w:rPr>
          <w:color w:val="auto"/>
        </w:rPr>
        <w:t>. Increase in lifetime earnings for would-be NTD sufferers (overview)</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969"/>
        <w:gridCol w:w="5777"/>
      </w:tblGrid>
      <w:tr w:rsidR="00B9719A" w14:paraId="58D15AE8" w14:textId="77777777" w:rsidTr="001E1379">
        <w:tc>
          <w:tcPr>
            <w:tcW w:w="2036" w:type="pct"/>
            <w:vMerge w:val="restart"/>
            <w:tcBorders>
              <w:top w:val="single" w:sz="4" w:space="0" w:color="auto"/>
              <w:bottom w:val="nil"/>
            </w:tcBorders>
          </w:tcPr>
          <w:p w14:paraId="3D3FD3BF" w14:textId="77777777" w:rsidR="00B9719A" w:rsidRPr="006B620C" w:rsidRDefault="00B9719A" w:rsidP="00100744">
            <w:pPr>
              <w:rPr>
                <w:b/>
                <w:bCs/>
              </w:rPr>
            </w:pPr>
          </w:p>
        </w:tc>
        <w:tc>
          <w:tcPr>
            <w:tcW w:w="2964" w:type="pct"/>
            <w:tcBorders>
              <w:top w:val="single" w:sz="4" w:space="0" w:color="auto"/>
              <w:bottom w:val="nil"/>
            </w:tcBorders>
          </w:tcPr>
          <w:p w14:paraId="73C7F365" w14:textId="700CA773" w:rsidR="00B9719A" w:rsidRPr="006B620C" w:rsidRDefault="00B9719A" w:rsidP="00100744">
            <w:pPr>
              <w:rPr>
                <w:b/>
                <w:bCs/>
              </w:rPr>
            </w:pPr>
            <w:r>
              <w:rPr>
                <w:b/>
                <w:bCs/>
              </w:rPr>
              <w:t>Estimated</w:t>
            </w:r>
            <w:r w:rsidR="00AA1388">
              <w:rPr>
                <w:b/>
                <w:bCs/>
              </w:rPr>
              <w:t xml:space="preserve"> total</w:t>
            </w:r>
            <w:r>
              <w:rPr>
                <w:b/>
                <w:bCs/>
              </w:rPr>
              <w:t xml:space="preserve"> discounted lifetime earnings gain</w:t>
            </w:r>
          </w:p>
        </w:tc>
      </w:tr>
      <w:tr w:rsidR="00B9719A" w14:paraId="52EE9B5F" w14:textId="77777777" w:rsidTr="001E1379">
        <w:tc>
          <w:tcPr>
            <w:tcW w:w="2036" w:type="pct"/>
            <w:vMerge/>
            <w:tcBorders>
              <w:top w:val="nil"/>
              <w:bottom w:val="single" w:sz="4" w:space="0" w:color="auto"/>
            </w:tcBorders>
          </w:tcPr>
          <w:p w14:paraId="729961CD" w14:textId="77777777" w:rsidR="00B9719A" w:rsidRPr="006B620C" w:rsidRDefault="00B9719A" w:rsidP="00100744">
            <w:pPr>
              <w:rPr>
                <w:b/>
                <w:bCs/>
              </w:rPr>
            </w:pPr>
          </w:p>
        </w:tc>
        <w:tc>
          <w:tcPr>
            <w:tcW w:w="2964" w:type="pct"/>
            <w:tcBorders>
              <w:top w:val="nil"/>
              <w:bottom w:val="single" w:sz="4" w:space="0" w:color="auto"/>
            </w:tcBorders>
          </w:tcPr>
          <w:p w14:paraId="61B0B3CD" w14:textId="26BAAEBC" w:rsidR="00B9719A" w:rsidRPr="00B71CFE" w:rsidRDefault="006459CA" w:rsidP="00100744">
            <w:pPr>
              <w:rPr>
                <w:sz w:val="20"/>
                <w:szCs w:val="20"/>
              </w:rPr>
            </w:pPr>
            <w:r>
              <w:rPr>
                <w:sz w:val="20"/>
                <w:szCs w:val="20"/>
              </w:rPr>
              <w:t>2024</w:t>
            </w:r>
            <w:r w:rsidR="00B9719A">
              <w:rPr>
                <w:sz w:val="20"/>
                <w:szCs w:val="20"/>
              </w:rPr>
              <w:t xml:space="preserve"> prices</w:t>
            </w:r>
          </w:p>
        </w:tc>
      </w:tr>
      <w:tr w:rsidR="00B9719A" w14:paraId="2B833FAE" w14:textId="77777777" w:rsidTr="001E1379">
        <w:tc>
          <w:tcPr>
            <w:tcW w:w="2036" w:type="pct"/>
            <w:tcBorders>
              <w:top w:val="single" w:sz="4" w:space="0" w:color="auto"/>
            </w:tcBorders>
          </w:tcPr>
          <w:p w14:paraId="26CB7038" w14:textId="77777777" w:rsidR="00B9719A" w:rsidRDefault="00B9719A" w:rsidP="00100744">
            <w:r>
              <w:t>Low</w:t>
            </w:r>
          </w:p>
        </w:tc>
        <w:tc>
          <w:tcPr>
            <w:tcW w:w="2964" w:type="pct"/>
            <w:tcBorders>
              <w:top w:val="single" w:sz="4" w:space="0" w:color="auto"/>
            </w:tcBorders>
          </w:tcPr>
          <w:p w14:paraId="1EBBF3C3" w14:textId="64E7924B" w:rsidR="00B9719A" w:rsidRDefault="00787ECF" w:rsidP="00100744">
            <w:r>
              <w:t>£</w:t>
            </w:r>
            <w:r w:rsidR="00186506">
              <w:t>3.5m</w:t>
            </w:r>
          </w:p>
        </w:tc>
      </w:tr>
      <w:tr w:rsidR="00B9719A" w14:paraId="1B79128F" w14:textId="77777777" w:rsidTr="001E1379">
        <w:tc>
          <w:tcPr>
            <w:tcW w:w="2036" w:type="pct"/>
          </w:tcPr>
          <w:p w14:paraId="652EC6C2" w14:textId="77777777" w:rsidR="00B9719A" w:rsidRDefault="00B9719A" w:rsidP="00100744">
            <w:r>
              <w:t>Central</w:t>
            </w:r>
          </w:p>
        </w:tc>
        <w:tc>
          <w:tcPr>
            <w:tcW w:w="2964" w:type="pct"/>
          </w:tcPr>
          <w:p w14:paraId="60619AB6" w14:textId="4263AA3E" w:rsidR="00B9719A" w:rsidRDefault="00787ECF" w:rsidP="00100744">
            <w:r>
              <w:t>£</w:t>
            </w:r>
            <w:r w:rsidR="00186506">
              <w:t>6.3m</w:t>
            </w:r>
          </w:p>
        </w:tc>
      </w:tr>
      <w:tr w:rsidR="00B9719A" w14:paraId="62599812" w14:textId="77777777" w:rsidTr="001E1379">
        <w:tc>
          <w:tcPr>
            <w:tcW w:w="2036" w:type="pct"/>
          </w:tcPr>
          <w:p w14:paraId="0EC9B4A5" w14:textId="77777777" w:rsidR="00B9719A" w:rsidRDefault="00B9719A" w:rsidP="00100744">
            <w:r>
              <w:t>High</w:t>
            </w:r>
          </w:p>
        </w:tc>
        <w:tc>
          <w:tcPr>
            <w:tcW w:w="2964" w:type="pct"/>
          </w:tcPr>
          <w:p w14:paraId="2A8C45AC" w14:textId="60631D4B" w:rsidR="00B9719A" w:rsidRDefault="00787ECF" w:rsidP="00100744">
            <w:r>
              <w:t>£</w:t>
            </w:r>
            <w:r w:rsidR="00186506">
              <w:t>10.5m</w:t>
            </w:r>
          </w:p>
        </w:tc>
      </w:tr>
    </w:tbl>
    <w:p w14:paraId="250BDFAC" w14:textId="77777777" w:rsidR="00492345" w:rsidRDefault="00492345" w:rsidP="00492345"/>
    <w:p w14:paraId="539082A7" w14:textId="77777777" w:rsidR="00492345" w:rsidRDefault="60A8E8B3" w:rsidP="005D011F">
      <w:pPr>
        <w:pStyle w:val="Heading3"/>
      </w:pPr>
      <w:r>
        <w:t>Increased labour productivity of would-be parents and/or carers of NTD sufferers</w:t>
      </w:r>
    </w:p>
    <w:p w14:paraId="64F9B7B6" w14:textId="2DF9B49A" w:rsidR="00492345" w:rsidRDefault="00492345" w:rsidP="00492345">
      <w:r>
        <w:t>In addition to increases in lifetime earnings of would-be NTD sufferers, there is also a potential positive impact on the lifetime earnings of would-be NTD parents and carers.</w:t>
      </w:r>
    </w:p>
    <w:p w14:paraId="5B09ABD0" w14:textId="77777777" w:rsidR="00492345" w:rsidRDefault="00492345" w:rsidP="00492345"/>
    <w:p w14:paraId="1D113D94" w14:textId="5B0FEA04" w:rsidR="00492345" w:rsidRDefault="00492345" w:rsidP="00492345">
      <w:pPr>
        <w:rPr>
          <w:rFonts w:cstheme="minorHAnsi"/>
        </w:rPr>
      </w:pPr>
      <w:r w:rsidRPr="00370FDE">
        <w:t xml:space="preserve">NTD cases generally lead to a reduced labour participation in the parents and/or carers of the NTD sufferer. A literature review by </w:t>
      </w:r>
      <w:hyperlink r:id="rId31" w:history="1">
        <w:r w:rsidRPr="00A535F2">
          <w:rPr>
            <w:rStyle w:val="Hyperlink"/>
            <w:rFonts w:cstheme="minorBidi"/>
            <w:color w:val="0070C0"/>
          </w:rPr>
          <w:t>Yi et al (2011)</w:t>
        </w:r>
      </w:hyperlink>
      <w:r w:rsidRPr="00370FDE">
        <w:t xml:space="preserve"> states that on average, parents of Spina Bifida patients have between a 21% and 27% lower labour participation rate.</w:t>
      </w:r>
      <w:r w:rsidR="000A47C9" w:rsidRPr="00370FDE">
        <w:t xml:space="preserve"> For the purpose of this analysis, we assume a 24% lower labour participation rate (the midpoint).</w:t>
      </w:r>
      <w:r w:rsidRPr="00370FDE">
        <w:t xml:space="preserve"> In the absence of data for Encephalocele, we assume this </w:t>
      </w:r>
      <w:r w:rsidR="00365EE1" w:rsidRPr="00370FDE">
        <w:t xml:space="preserve">reduction in labour participation </w:t>
      </w:r>
      <w:r w:rsidRPr="00370FDE">
        <w:t xml:space="preserve">holds for that condition as well. We also assume that </w:t>
      </w:r>
      <w:r w:rsidR="00365EE1" w:rsidRPr="00370FDE">
        <w:t>the Yi et al</w:t>
      </w:r>
      <w:r w:rsidRPr="00370FDE">
        <w:t xml:space="preserve"> study translates to Scotland, and that all individuals with a would-be NTD come from </w:t>
      </w:r>
      <w:r w:rsidR="00E0460C" w:rsidRPr="00370FDE">
        <w:t xml:space="preserve">a </w:t>
      </w:r>
      <w:r w:rsidRPr="00370FDE">
        <w:t>two parent (or two carer) household</w:t>
      </w:r>
      <w:r w:rsidR="003A4850" w:rsidRPr="00370FDE">
        <w:t xml:space="preserve"> (A20)</w:t>
      </w:r>
      <w:r w:rsidRPr="00370FDE">
        <w:rPr>
          <w:rFonts w:cstheme="minorHAnsi"/>
        </w:rPr>
        <w:t>.</w:t>
      </w:r>
      <w:r w:rsidRPr="00370FDE">
        <w:rPr>
          <w:rStyle w:val="FootnoteReference"/>
          <w:rFonts w:asciiTheme="minorHAnsi" w:hAnsiTheme="minorHAnsi" w:cstheme="minorHAnsi"/>
          <w:sz w:val="24"/>
        </w:rPr>
        <w:footnoteReference w:id="17"/>
      </w:r>
    </w:p>
    <w:p w14:paraId="397429A3" w14:textId="77777777" w:rsidR="00492345" w:rsidRDefault="00492345" w:rsidP="00492345">
      <w:pPr>
        <w:rPr>
          <w:rFonts w:cstheme="minorHAnsi"/>
        </w:rPr>
      </w:pPr>
    </w:p>
    <w:p w14:paraId="386E2802" w14:textId="43B50B43" w:rsidR="00492345" w:rsidRDefault="00492345" w:rsidP="00492345">
      <w:pPr>
        <w:rPr>
          <w:rFonts w:cstheme="minorHAnsi"/>
        </w:rPr>
      </w:pPr>
      <w:r>
        <w:rPr>
          <w:rFonts w:cstheme="minorHAnsi"/>
        </w:rPr>
        <w:t>According to ONS analysis of the 2021 UK census (</w:t>
      </w:r>
      <w:hyperlink r:id="rId32" w:history="1">
        <w:r w:rsidRPr="00A535F2">
          <w:rPr>
            <w:rStyle w:val="Hyperlink"/>
            <w:rFonts w:cstheme="minorHAnsi"/>
            <w:color w:val="0070C0"/>
          </w:rPr>
          <w:t>Dataset A05 SA: Employment, unemployment and economic inactivity by age group (seasonally adjusted), ONS, 11 July 2023</w:t>
        </w:r>
      </w:hyperlink>
      <w:r>
        <w:rPr>
          <w:rFonts w:cstheme="minorHAnsi"/>
        </w:rPr>
        <w:t>), the average labour participation rate of people aged 18-49 in the UK is 77%, with the average a</w:t>
      </w:r>
      <w:r w:rsidRPr="009801FC">
        <w:rPr>
          <w:rFonts w:cstheme="minorHAnsi"/>
        </w:rPr>
        <w:t>nnual income in the same age bracket being £29</w:t>
      </w:r>
      <w:r w:rsidR="008A4859" w:rsidRPr="009801FC">
        <w:rPr>
          <w:rFonts w:cstheme="minorHAnsi"/>
        </w:rPr>
        <w:t>,188</w:t>
      </w:r>
      <w:r w:rsidR="006467C5" w:rsidRPr="009801FC">
        <w:rPr>
          <w:rFonts w:cstheme="minorHAnsi"/>
        </w:rPr>
        <w:t xml:space="preserve"> (when adjusted to </w:t>
      </w:r>
      <w:r w:rsidR="007542C8" w:rsidRPr="009801FC">
        <w:rPr>
          <w:rFonts w:cstheme="minorHAnsi"/>
        </w:rPr>
        <w:t>2024</w:t>
      </w:r>
      <w:r w:rsidR="006467C5" w:rsidRPr="009801FC">
        <w:rPr>
          <w:rFonts w:cstheme="minorHAnsi"/>
        </w:rPr>
        <w:t xml:space="preserve"> prices, this is £</w:t>
      </w:r>
      <w:r w:rsidR="007542C8" w:rsidRPr="009801FC">
        <w:rPr>
          <w:rFonts w:cstheme="minorHAnsi"/>
        </w:rPr>
        <w:t>33,584</w:t>
      </w:r>
      <w:r w:rsidR="006467C5" w:rsidRPr="009801FC">
        <w:rPr>
          <w:rFonts w:cstheme="minorHAnsi"/>
        </w:rPr>
        <w:t>)</w:t>
      </w:r>
      <w:r w:rsidRPr="009801FC">
        <w:rPr>
          <w:rFonts w:cstheme="minorHAnsi"/>
        </w:rPr>
        <w:t>.</w:t>
      </w:r>
      <w:r w:rsidR="00601651" w:rsidRPr="009801FC">
        <w:rPr>
          <w:rFonts w:cstheme="minorHAnsi"/>
        </w:rPr>
        <w:t xml:space="preserve"> We assume these figures are representative of Scottish NTD parents and carers as well</w:t>
      </w:r>
      <w:r w:rsidR="0087226C" w:rsidRPr="009801FC">
        <w:rPr>
          <w:rFonts w:cstheme="minorHAnsi"/>
        </w:rPr>
        <w:t xml:space="preserve"> (</w:t>
      </w:r>
      <w:r w:rsidR="002B1E58" w:rsidRPr="009801FC">
        <w:rPr>
          <w:rFonts w:cstheme="minorHAnsi"/>
        </w:rPr>
        <w:t xml:space="preserve">where </w:t>
      </w:r>
      <w:r w:rsidR="003F7769" w:rsidRPr="009801FC">
        <w:rPr>
          <w:rFonts w:cstheme="minorHAnsi"/>
        </w:rPr>
        <w:t>a 24% reduction in the</w:t>
      </w:r>
      <w:r w:rsidR="002B1E58" w:rsidRPr="009801FC">
        <w:rPr>
          <w:rFonts w:cstheme="minorHAnsi"/>
        </w:rPr>
        <w:t xml:space="preserve"> 77% labour participation rate is </w:t>
      </w:r>
      <w:r w:rsidR="00D22810" w:rsidRPr="009801FC">
        <w:rPr>
          <w:rFonts w:cstheme="minorHAnsi"/>
        </w:rPr>
        <w:t>58%)</w:t>
      </w:r>
      <w:r w:rsidR="00263ECA" w:rsidRPr="009801FC">
        <w:rPr>
          <w:rFonts w:cstheme="minorHAnsi"/>
        </w:rPr>
        <w:t xml:space="preserve"> (A21).</w:t>
      </w:r>
    </w:p>
    <w:p w14:paraId="7501ADBD" w14:textId="77777777" w:rsidR="00492345" w:rsidRDefault="00492345" w:rsidP="00492345">
      <w:pPr>
        <w:rPr>
          <w:rFonts w:cstheme="minorHAnsi"/>
        </w:rPr>
      </w:pPr>
    </w:p>
    <w:p w14:paraId="79F38B2B" w14:textId="134F5937" w:rsidR="002E0AD4" w:rsidRDefault="00492345" w:rsidP="00A205E6">
      <w:r>
        <w:rPr>
          <w:rFonts w:cstheme="minorHAnsi"/>
        </w:rPr>
        <w:t xml:space="preserve">We estimate that there are on average </w:t>
      </w:r>
      <w:r w:rsidR="00933654">
        <w:rPr>
          <w:rFonts w:cstheme="minorHAnsi"/>
        </w:rPr>
        <w:t>2.95</w:t>
      </w:r>
      <w:r>
        <w:rPr>
          <w:rFonts w:cstheme="minorHAnsi"/>
        </w:rPr>
        <w:t xml:space="preserve"> fewer live Spina Bifida and Encephalocele births per year at the </w:t>
      </w:r>
      <w:r w:rsidRPr="00B34D84">
        <w:t>250μg/100g</w:t>
      </w:r>
      <w:r>
        <w:t xml:space="preserve"> NWWF fortification level</w:t>
      </w:r>
      <w:r w:rsidR="0076775F">
        <w:t xml:space="preserve"> (using the central reduction estimate).</w:t>
      </w:r>
      <w:r w:rsidR="007E73A0">
        <w:t xml:space="preserve"> </w:t>
      </w:r>
      <w:r w:rsidR="00A205E6">
        <w:t>Given the labour participation and incomes assumed above, for</w:t>
      </w:r>
      <w:r w:rsidR="003A467C">
        <w:t xml:space="preserve"> each prevented NTD birth</w:t>
      </w:r>
      <w:r w:rsidR="00A205E6">
        <w:t xml:space="preserve"> </w:t>
      </w:r>
      <w:r w:rsidR="00134244">
        <w:t>we estimate an undiscounted</w:t>
      </w:r>
      <w:r w:rsidR="00CA36D2">
        <w:t xml:space="preserve"> </w:t>
      </w:r>
      <w:r w:rsidR="008D0D1A">
        <w:t>annual</w:t>
      </w:r>
      <w:r w:rsidR="00134244">
        <w:t xml:space="preserve"> </w:t>
      </w:r>
      <w:r w:rsidR="002E1393">
        <w:t xml:space="preserve">central </w:t>
      </w:r>
      <w:r w:rsidR="00134244">
        <w:t xml:space="preserve">income gain of </w:t>
      </w:r>
      <w:r w:rsidR="008D0D1A">
        <w:t>£</w:t>
      </w:r>
      <w:r w:rsidR="00295ED1">
        <w:t>12,232.12</w:t>
      </w:r>
      <w:r w:rsidR="00A205E6">
        <w:t xml:space="preserve"> per household</w:t>
      </w:r>
      <w:r w:rsidR="004E6AB2">
        <w:t xml:space="preserve">, or </w:t>
      </w:r>
      <w:r w:rsidR="00933654">
        <w:t>£</w:t>
      </w:r>
      <w:r w:rsidR="00B22ABF">
        <w:t>36,</w:t>
      </w:r>
      <w:r w:rsidR="002E1393">
        <w:t>065</w:t>
      </w:r>
      <w:r w:rsidR="00933654">
        <w:t xml:space="preserve"> per year in total</w:t>
      </w:r>
      <w:r w:rsidR="00A205E6">
        <w:t>.</w:t>
      </w:r>
    </w:p>
    <w:p w14:paraId="48301D00" w14:textId="77777777" w:rsidR="00492345" w:rsidRDefault="00492345" w:rsidP="00492345"/>
    <w:p w14:paraId="76727CF1" w14:textId="2674B74A" w:rsidR="00492345" w:rsidRDefault="00F550C5" w:rsidP="00492345">
      <w:r w:rsidRPr="00962A45">
        <w:t>Assuming this income gain</w:t>
      </w:r>
      <w:r w:rsidR="008025D3" w:rsidRPr="00962A45">
        <w:t xml:space="preserve"> is present until the child is 18 years old</w:t>
      </w:r>
      <w:r w:rsidR="001A44AA">
        <w:t xml:space="preserve"> (A22)</w:t>
      </w:r>
      <w:r w:rsidR="008025D3" w:rsidRPr="00962A45">
        <w:t>,</w:t>
      </w:r>
      <w:r w:rsidR="008025D3">
        <w:t xml:space="preserve"> we estimate the total discounted income gain over 10 cohorts of prevented NTD cases</w:t>
      </w:r>
      <w:r w:rsidR="00BC6B29">
        <w:t xml:space="preserve"> – similar to the estimation of lifetime health benefits</w:t>
      </w:r>
      <w:r w:rsidR="008025D3">
        <w:t>.</w:t>
      </w:r>
      <w:r w:rsidR="009A313A">
        <w:t xml:space="preserve"> </w:t>
      </w:r>
      <w:r w:rsidR="00BC6B29">
        <w:t>T</w:t>
      </w:r>
      <w:r w:rsidR="00492345">
        <w:t xml:space="preserve">he total labour market participation gain over the 10 year appraisal period is estimated to </w:t>
      </w:r>
      <w:r w:rsidR="00492345" w:rsidRPr="00EC7150">
        <w:t>be £</w:t>
      </w:r>
      <w:r w:rsidR="007C7FFB">
        <w:t>4.2</w:t>
      </w:r>
      <w:r w:rsidR="00EC7150">
        <w:t xml:space="preserve"> </w:t>
      </w:r>
      <w:r w:rsidR="00492345" w:rsidRPr="00EC7150">
        <w:t>m</w:t>
      </w:r>
      <w:r w:rsidR="00EC7150">
        <w:t>illion (</w:t>
      </w:r>
      <w:r w:rsidR="007C7FFB">
        <w:t>2024</w:t>
      </w:r>
      <w:r w:rsidR="00EC7150">
        <w:t xml:space="preserve"> prices)</w:t>
      </w:r>
      <w:r w:rsidR="00492345" w:rsidRPr="00EC7150">
        <w:t>.</w:t>
      </w:r>
      <w:r w:rsidR="00492345">
        <w:t xml:space="preserve"> Given our range of risk reduction estimates, we can construct a low, central, and high estimates of this gain:</w:t>
      </w:r>
    </w:p>
    <w:p w14:paraId="21301646" w14:textId="77777777" w:rsidR="00492345" w:rsidRDefault="00492345" w:rsidP="00492345"/>
    <w:p w14:paraId="0383D033" w14:textId="2B4BFFD1" w:rsidR="000E52D3" w:rsidRPr="00A535F2" w:rsidRDefault="000E52D3" w:rsidP="000E52D3">
      <w:pPr>
        <w:pStyle w:val="Caption"/>
        <w:keepNext/>
        <w:rPr>
          <w:color w:val="auto"/>
        </w:rPr>
      </w:pPr>
      <w:r w:rsidRPr="00A535F2">
        <w:rPr>
          <w:color w:val="auto"/>
        </w:rPr>
        <w:t xml:space="preserve">Table </w:t>
      </w:r>
      <w:r w:rsidR="00000F90" w:rsidRPr="00A535F2">
        <w:rPr>
          <w:color w:val="auto"/>
        </w:rPr>
        <w:fldChar w:fldCharType="begin"/>
      </w:r>
      <w:r w:rsidR="00000F90" w:rsidRPr="00A535F2">
        <w:rPr>
          <w:color w:val="auto"/>
        </w:rPr>
        <w:instrText xml:space="preserve"> SEQ Table \* ARABIC </w:instrText>
      </w:r>
      <w:r w:rsidR="00000F90" w:rsidRPr="00A535F2">
        <w:rPr>
          <w:color w:val="auto"/>
        </w:rPr>
        <w:fldChar w:fldCharType="separate"/>
      </w:r>
      <w:r w:rsidR="000E33D5" w:rsidRPr="00A535F2">
        <w:rPr>
          <w:noProof/>
          <w:color w:val="auto"/>
        </w:rPr>
        <w:t>21</w:t>
      </w:r>
      <w:r w:rsidR="00000F90" w:rsidRPr="00A535F2">
        <w:rPr>
          <w:noProof/>
          <w:color w:val="auto"/>
        </w:rPr>
        <w:fldChar w:fldCharType="end"/>
      </w:r>
      <w:r w:rsidRPr="00A535F2">
        <w:rPr>
          <w:color w:val="auto"/>
        </w:rPr>
        <w:t xml:space="preserve">. </w:t>
      </w:r>
      <w:r w:rsidRPr="00A535F2">
        <w:rPr>
          <w:rFonts w:cstheme="minorHAnsi"/>
          <w:color w:val="auto"/>
        </w:rPr>
        <w:t>Estimated increased parent/carer earnings as a result of a reduced number of would-be NTD sufferers</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348"/>
        <w:gridCol w:w="3698"/>
        <w:gridCol w:w="3700"/>
      </w:tblGrid>
      <w:tr w:rsidR="00492345" w14:paraId="568F3C60" w14:textId="77777777" w:rsidTr="00100744">
        <w:tc>
          <w:tcPr>
            <w:tcW w:w="1205" w:type="pct"/>
            <w:vMerge w:val="restart"/>
            <w:tcBorders>
              <w:top w:val="single" w:sz="4" w:space="0" w:color="auto"/>
              <w:bottom w:val="nil"/>
            </w:tcBorders>
          </w:tcPr>
          <w:p w14:paraId="5FF726B5" w14:textId="77777777" w:rsidR="00492345" w:rsidRPr="006B620C" w:rsidRDefault="00492345" w:rsidP="00100744">
            <w:pPr>
              <w:rPr>
                <w:b/>
                <w:bCs/>
              </w:rPr>
            </w:pPr>
          </w:p>
        </w:tc>
        <w:tc>
          <w:tcPr>
            <w:tcW w:w="1897" w:type="pct"/>
            <w:vMerge w:val="restart"/>
            <w:tcBorders>
              <w:top w:val="single" w:sz="4" w:space="0" w:color="auto"/>
            </w:tcBorders>
          </w:tcPr>
          <w:p w14:paraId="2794C98B" w14:textId="77777777" w:rsidR="00492345" w:rsidRDefault="00492345" w:rsidP="00100744">
            <w:pPr>
              <w:rPr>
                <w:b/>
                <w:bCs/>
              </w:rPr>
            </w:pPr>
            <w:r>
              <w:rPr>
                <w:b/>
                <w:bCs/>
              </w:rPr>
              <w:t>Estimated reduction in number of parents/carers of would-be NTD sufferers each annual cohort</w:t>
            </w:r>
          </w:p>
        </w:tc>
        <w:tc>
          <w:tcPr>
            <w:tcW w:w="1898" w:type="pct"/>
            <w:tcBorders>
              <w:top w:val="single" w:sz="4" w:space="0" w:color="auto"/>
              <w:bottom w:val="nil"/>
            </w:tcBorders>
          </w:tcPr>
          <w:p w14:paraId="1204A088" w14:textId="77777777" w:rsidR="00492345" w:rsidRPr="006B620C" w:rsidRDefault="00492345" w:rsidP="00100744">
            <w:pPr>
              <w:rPr>
                <w:b/>
                <w:bCs/>
              </w:rPr>
            </w:pPr>
            <w:r>
              <w:rPr>
                <w:b/>
                <w:bCs/>
              </w:rPr>
              <w:t>Total discounted cost saving over 10 year appraisal period</w:t>
            </w:r>
          </w:p>
        </w:tc>
      </w:tr>
      <w:tr w:rsidR="00492345" w14:paraId="3D998A1B" w14:textId="77777777" w:rsidTr="00100744">
        <w:tc>
          <w:tcPr>
            <w:tcW w:w="1205" w:type="pct"/>
            <w:vMerge/>
            <w:tcBorders>
              <w:top w:val="nil"/>
              <w:bottom w:val="single" w:sz="4" w:space="0" w:color="auto"/>
            </w:tcBorders>
          </w:tcPr>
          <w:p w14:paraId="500C06D7" w14:textId="77777777" w:rsidR="00492345" w:rsidRPr="006B620C" w:rsidRDefault="00492345" w:rsidP="00100744">
            <w:pPr>
              <w:rPr>
                <w:b/>
                <w:bCs/>
              </w:rPr>
            </w:pPr>
          </w:p>
        </w:tc>
        <w:tc>
          <w:tcPr>
            <w:tcW w:w="1897" w:type="pct"/>
            <w:vMerge/>
            <w:tcBorders>
              <w:bottom w:val="single" w:sz="4" w:space="0" w:color="auto"/>
            </w:tcBorders>
          </w:tcPr>
          <w:p w14:paraId="786F4962" w14:textId="77777777" w:rsidR="00492345" w:rsidRPr="00B71CFE" w:rsidRDefault="00492345" w:rsidP="00100744">
            <w:pPr>
              <w:rPr>
                <w:sz w:val="20"/>
                <w:szCs w:val="20"/>
              </w:rPr>
            </w:pPr>
          </w:p>
        </w:tc>
        <w:tc>
          <w:tcPr>
            <w:tcW w:w="1898" w:type="pct"/>
            <w:tcBorders>
              <w:top w:val="nil"/>
              <w:bottom w:val="single" w:sz="4" w:space="0" w:color="auto"/>
            </w:tcBorders>
          </w:tcPr>
          <w:p w14:paraId="605F284A" w14:textId="35449981" w:rsidR="00492345" w:rsidRPr="00B71CFE" w:rsidRDefault="00597F10" w:rsidP="00100744">
            <w:pPr>
              <w:rPr>
                <w:sz w:val="20"/>
                <w:szCs w:val="20"/>
              </w:rPr>
            </w:pPr>
            <w:r>
              <w:rPr>
                <w:sz w:val="20"/>
                <w:szCs w:val="20"/>
              </w:rPr>
              <w:t>2024</w:t>
            </w:r>
            <w:r w:rsidR="00492345">
              <w:rPr>
                <w:sz w:val="20"/>
                <w:szCs w:val="20"/>
              </w:rPr>
              <w:t xml:space="preserve"> prices</w:t>
            </w:r>
          </w:p>
        </w:tc>
      </w:tr>
      <w:tr w:rsidR="00492345" w14:paraId="77957A56" w14:textId="77777777" w:rsidTr="00100744">
        <w:tc>
          <w:tcPr>
            <w:tcW w:w="1205" w:type="pct"/>
            <w:tcBorders>
              <w:top w:val="single" w:sz="4" w:space="0" w:color="auto"/>
            </w:tcBorders>
          </w:tcPr>
          <w:p w14:paraId="465404E0" w14:textId="77777777" w:rsidR="00492345" w:rsidRDefault="00492345" w:rsidP="00100744">
            <w:r>
              <w:t>Low</w:t>
            </w:r>
          </w:p>
        </w:tc>
        <w:tc>
          <w:tcPr>
            <w:tcW w:w="1897" w:type="pct"/>
            <w:tcBorders>
              <w:top w:val="single" w:sz="4" w:space="0" w:color="auto"/>
            </w:tcBorders>
          </w:tcPr>
          <w:p w14:paraId="204BE1C4" w14:textId="123FBBB5" w:rsidR="00492345" w:rsidRDefault="005851A4" w:rsidP="00100744">
            <w:r>
              <w:t>3.8</w:t>
            </w:r>
          </w:p>
        </w:tc>
        <w:tc>
          <w:tcPr>
            <w:tcW w:w="1898" w:type="pct"/>
            <w:tcBorders>
              <w:top w:val="single" w:sz="4" w:space="0" w:color="auto"/>
            </w:tcBorders>
          </w:tcPr>
          <w:p w14:paraId="1A20CE42" w14:textId="6BF9A387" w:rsidR="00492345" w:rsidRDefault="00B80984" w:rsidP="00100744">
            <w:r>
              <w:t>£</w:t>
            </w:r>
            <w:r w:rsidR="00597F10">
              <w:t>2,762,474</w:t>
            </w:r>
          </w:p>
        </w:tc>
      </w:tr>
      <w:tr w:rsidR="00492345" w14:paraId="7979DDA5" w14:textId="77777777" w:rsidTr="00100744">
        <w:tc>
          <w:tcPr>
            <w:tcW w:w="1205" w:type="pct"/>
          </w:tcPr>
          <w:p w14:paraId="3C833692" w14:textId="77777777" w:rsidR="00492345" w:rsidRDefault="00492345" w:rsidP="00100744">
            <w:r>
              <w:t>Central</w:t>
            </w:r>
          </w:p>
        </w:tc>
        <w:tc>
          <w:tcPr>
            <w:tcW w:w="1897" w:type="pct"/>
          </w:tcPr>
          <w:p w14:paraId="10D1464D" w14:textId="7E604340" w:rsidR="00492345" w:rsidRDefault="00517A9F" w:rsidP="00100744">
            <w:r>
              <w:t>5.9</w:t>
            </w:r>
          </w:p>
        </w:tc>
        <w:tc>
          <w:tcPr>
            <w:tcW w:w="1898" w:type="pct"/>
          </w:tcPr>
          <w:p w14:paraId="4782A17C" w14:textId="59554EF2" w:rsidR="00492345" w:rsidRDefault="00B80984" w:rsidP="00100744">
            <w:r>
              <w:t>£</w:t>
            </w:r>
            <w:r w:rsidR="00597F10">
              <w:t>4,237,887</w:t>
            </w:r>
          </w:p>
        </w:tc>
      </w:tr>
      <w:tr w:rsidR="00492345" w14:paraId="25465FEA" w14:textId="77777777" w:rsidTr="00100744">
        <w:tc>
          <w:tcPr>
            <w:tcW w:w="1205" w:type="pct"/>
          </w:tcPr>
          <w:p w14:paraId="53390DB5" w14:textId="77777777" w:rsidR="00492345" w:rsidRDefault="00492345" w:rsidP="00100744">
            <w:r>
              <w:t>High</w:t>
            </w:r>
          </w:p>
        </w:tc>
        <w:tc>
          <w:tcPr>
            <w:tcW w:w="1897" w:type="pct"/>
          </w:tcPr>
          <w:p w14:paraId="4ECFC1E1" w14:textId="645093BD" w:rsidR="00492345" w:rsidRDefault="005851A4" w:rsidP="00100744">
            <w:r>
              <w:t>8.4</w:t>
            </w:r>
          </w:p>
        </w:tc>
        <w:tc>
          <w:tcPr>
            <w:tcW w:w="1898" w:type="pct"/>
          </w:tcPr>
          <w:p w14:paraId="134DA883" w14:textId="1A457239" w:rsidR="00492345" w:rsidRDefault="00B80984" w:rsidP="00100744">
            <w:r>
              <w:t>£</w:t>
            </w:r>
            <w:r w:rsidR="00597F10">
              <w:t>6,027,217</w:t>
            </w:r>
          </w:p>
        </w:tc>
      </w:tr>
    </w:tbl>
    <w:p w14:paraId="17DA61F0" w14:textId="5CFE9E97" w:rsidR="00492345" w:rsidRPr="00FB623D" w:rsidRDefault="00492345" w:rsidP="00492345">
      <w:pPr>
        <w:jc w:val="right"/>
        <w:rPr>
          <w:sz w:val="20"/>
          <w:szCs w:val="20"/>
        </w:rPr>
      </w:pPr>
      <w:r w:rsidRPr="00FB623D">
        <w:rPr>
          <w:sz w:val="20"/>
          <w:szCs w:val="20"/>
        </w:rPr>
        <w:t xml:space="preserve">Source: FSS and DHSC calculations; </w:t>
      </w:r>
      <w:r w:rsidR="001A40B4">
        <w:rPr>
          <w:sz w:val="20"/>
          <w:szCs w:val="20"/>
        </w:rPr>
        <w:t>ONS, 2021</w:t>
      </w:r>
      <w:r w:rsidR="00206A3A">
        <w:rPr>
          <w:sz w:val="20"/>
          <w:szCs w:val="20"/>
        </w:rPr>
        <w:t>; Yi et al 2011; HMT</w:t>
      </w:r>
      <w:r w:rsidR="00322700">
        <w:rPr>
          <w:sz w:val="20"/>
          <w:szCs w:val="20"/>
        </w:rPr>
        <w:t xml:space="preserve">, </w:t>
      </w:r>
      <w:r w:rsidR="00206A3A">
        <w:rPr>
          <w:sz w:val="20"/>
          <w:szCs w:val="20"/>
        </w:rPr>
        <w:t>2023.</w:t>
      </w:r>
    </w:p>
    <w:p w14:paraId="2FEBE411" w14:textId="77777777" w:rsidR="00492345" w:rsidRDefault="00492345" w:rsidP="00492345"/>
    <w:p w14:paraId="37237288" w14:textId="1B725FDD" w:rsidR="002B14BB" w:rsidRDefault="00492345" w:rsidP="00492345">
      <w:r>
        <w:t xml:space="preserve">The impact on labour market participation (or </w:t>
      </w:r>
      <w:r w:rsidR="007F2600">
        <w:t>increased</w:t>
      </w:r>
      <w:r>
        <w:t xml:space="preserve"> potential earnings) of parents of would-be </w:t>
      </w:r>
      <w:r w:rsidRPr="00C32BC4">
        <w:t>Anencephaly</w:t>
      </w:r>
      <w:r>
        <w:t xml:space="preserve"> sufferers (who would have had a very short life expectancy) is not taken into account in this analysis. The primary reason for this is that the magnitude and direction of impact depends on many factors, some of which are behavioural</w:t>
      </w:r>
      <w:r w:rsidR="00F1665F">
        <w:t xml:space="preserve"> and difficul</w:t>
      </w:r>
      <w:r w:rsidR="00000B23">
        <w:t>t to estimate</w:t>
      </w:r>
      <w:r>
        <w:t>.</w:t>
      </w:r>
    </w:p>
    <w:p w14:paraId="579EE41F" w14:textId="77777777" w:rsidR="00EB35EF" w:rsidRPr="00613FF6" w:rsidRDefault="00EB35EF" w:rsidP="00492345"/>
    <w:p w14:paraId="263974C7" w14:textId="39EE61AF" w:rsidR="00492345" w:rsidRDefault="60A8E8B3" w:rsidP="00D2536C">
      <w:pPr>
        <w:pStyle w:val="Heading3"/>
      </w:pPr>
      <w:r>
        <w:t>Non-monetised benefits</w:t>
      </w:r>
    </w:p>
    <w:p w14:paraId="420F1329" w14:textId="3D1A9A51" w:rsidR="00CD0298" w:rsidRPr="00A535F2" w:rsidRDefault="60A8E8B3" w:rsidP="007B0647">
      <w:pPr>
        <w:pStyle w:val="Heading4"/>
        <w:rPr>
          <w:color w:val="auto"/>
        </w:rPr>
      </w:pPr>
      <w:r w:rsidRPr="00A535F2">
        <w:rPr>
          <w:color w:val="auto"/>
        </w:rPr>
        <w:t>Health benefits of reducing the number of NTD-related terminations, miscarriages, and stillbirths</w:t>
      </w:r>
    </w:p>
    <w:p w14:paraId="10D7380C" w14:textId="77777777" w:rsidR="00492345" w:rsidRDefault="00492345" w:rsidP="00492345">
      <w:r>
        <w:t>We recognise there may be a significant benefit of this policy in the form of an increase in the number of live births through pregnancies that would’ve otherwise not resulted in a live birth.</w:t>
      </w:r>
    </w:p>
    <w:p w14:paraId="2B8DD00B" w14:textId="77777777" w:rsidR="00492345" w:rsidRDefault="00492345" w:rsidP="00492345"/>
    <w:p w14:paraId="2A9AFD45" w14:textId="28A7A308" w:rsidR="00492345" w:rsidRDefault="00492345" w:rsidP="00492345">
      <w:r>
        <w:t>These benefits could potentially be quantified in a similar way as for NTD live births through the use of QALYs. However, there is additional uncertainty in these cases, where we cannot say for certain that each NTD-related termination, miscarriage, or stillbirth will result in a live birth simply as a result of increased folate intake. Factors leading to any of these outcomes are complex, and for that reason we have decided to not take these benefits into account. Given the large benefits already seen in e.g. the reduced number of NTD live births we do not anticipate the exclusion of these benefits to drastically change the overall picture (i.e. the cost-benefit ratio). This has the added benefit of keeping the analysis tractable.</w:t>
      </w:r>
    </w:p>
    <w:p w14:paraId="0563FFE8" w14:textId="0FDAA879" w:rsidR="00492345" w:rsidRPr="00A535F2" w:rsidRDefault="60A8E8B3" w:rsidP="007B0647">
      <w:pPr>
        <w:pStyle w:val="Heading4"/>
        <w:rPr>
          <w:color w:val="auto"/>
        </w:rPr>
      </w:pPr>
      <w:r w:rsidRPr="00A535F2">
        <w:rPr>
          <w:color w:val="auto"/>
        </w:rPr>
        <w:t>Social care cost savings</w:t>
      </w:r>
    </w:p>
    <w:p w14:paraId="129408E7" w14:textId="7BC542C9" w:rsidR="007E4EAC" w:rsidRDefault="00492345" w:rsidP="00492345">
      <w:r>
        <w:t xml:space="preserve">Those affected by NTDs often require life-long health- and social care (see e.g. </w:t>
      </w:r>
      <w:hyperlink r:id="rId33" w:history="1">
        <w:r w:rsidRPr="00A535F2">
          <w:rPr>
            <w:rStyle w:val="Hyperlink"/>
            <w:color w:val="0070C0"/>
          </w:rPr>
          <w:t>Neural tube defects in Australia: prevalence before mandatory folic acid fortification, Australian Institute of Health and Welfare</w:t>
        </w:r>
      </w:hyperlink>
      <w:r>
        <w:t>). We anticipate the social care burden to fall as a result of the introduction of folic acid fortification, which in turn leads to a reduction in opportunity costs (separate a labour productivity increase) and a reduced social cost for those that have would have had to give up time to care (without pay) for those suffering with NTDs.</w:t>
      </w:r>
      <w:r w:rsidR="007E4EAC">
        <w:t xml:space="preserve"> </w:t>
      </w:r>
      <w:r>
        <w:t>This reduction in social care costs has not been quantified due to a lack of evidence and available data.</w:t>
      </w:r>
    </w:p>
    <w:p w14:paraId="5CF477E5" w14:textId="4B8CB70D" w:rsidR="00492345" w:rsidRPr="00A535F2" w:rsidRDefault="60A8E8B3" w:rsidP="007B0647">
      <w:pPr>
        <w:pStyle w:val="Heading4"/>
        <w:rPr>
          <w:color w:val="auto"/>
        </w:rPr>
      </w:pPr>
      <w:r w:rsidRPr="00A535F2">
        <w:rPr>
          <w:color w:val="auto"/>
        </w:rPr>
        <w:t>Reduction in psychological harm and distress caused by NTD related miscarriages, stillbirths, terminations, and live births</w:t>
      </w:r>
    </w:p>
    <w:p w14:paraId="29A86415" w14:textId="77777777" w:rsidR="00492345" w:rsidRDefault="00492345" w:rsidP="00492345">
      <w:r>
        <w:t>In addition to the many monetised benefits above, including increased labour participation and lifetime earnings of would-be parents, we want to highlight the potential positive impact on the mental (and physical) wellbeing of would-be parents of NTD sufferers.</w:t>
      </w:r>
    </w:p>
    <w:p w14:paraId="3C1455F1" w14:textId="77777777" w:rsidR="00492345" w:rsidRDefault="00492345" w:rsidP="00492345"/>
    <w:p w14:paraId="20433E96" w14:textId="727581A6" w:rsidR="00492345" w:rsidRDefault="00492345" w:rsidP="00492345">
      <w:r>
        <w:t xml:space="preserve">Pregnancies resulting in a miscarriage, stillbirth, or termination, whether related to NTDs or not, </w:t>
      </w:r>
      <w:r w:rsidR="007E3733">
        <w:t>can</w:t>
      </w:r>
      <w:r w:rsidR="003C2999">
        <w:t xml:space="preserve"> </w:t>
      </w:r>
      <w:r>
        <w:t xml:space="preserve">cause </w:t>
      </w:r>
      <w:r w:rsidR="007E3733">
        <w:t xml:space="preserve">great </w:t>
      </w:r>
      <w:r>
        <w:t xml:space="preserve">psychological harm and distress on parents and their families. This is well-documented in the literature (see for example </w:t>
      </w:r>
      <w:hyperlink r:id="rId34" w:history="1">
        <w:r w:rsidRPr="00A535F2">
          <w:rPr>
            <w:rStyle w:val="Hyperlink"/>
            <w:rFonts w:cstheme="minorBidi"/>
            <w:color w:val="0070C0"/>
          </w:rPr>
          <w:t>Nynas et al, 2015</w:t>
        </w:r>
      </w:hyperlink>
      <w:r>
        <w:t xml:space="preserve"> and </w:t>
      </w:r>
      <w:hyperlink r:id="rId35" w:history="1">
        <w:r w:rsidRPr="00A535F2">
          <w:rPr>
            <w:rStyle w:val="Hyperlink"/>
            <w:rFonts w:cstheme="minorBidi"/>
            <w:color w:val="0070C0"/>
          </w:rPr>
          <w:t>Farren et al, 2020</w:t>
        </w:r>
      </w:hyperlink>
      <w:r>
        <w:t>).</w:t>
      </w:r>
      <w:r w:rsidR="00586E8A">
        <w:t xml:space="preserve"> </w:t>
      </w:r>
      <w:r>
        <w:t>It stands to reason</w:t>
      </w:r>
      <w:r w:rsidR="00586E8A">
        <w:t>, therefore,</w:t>
      </w:r>
      <w:r>
        <w:t xml:space="preserve"> that a reduction of incidences of NTD-related miscarriages, stillbirths, </w:t>
      </w:r>
      <w:r w:rsidR="005C56C9">
        <w:t xml:space="preserve">and </w:t>
      </w:r>
      <w:r>
        <w:t>terminations</w:t>
      </w:r>
      <w:r w:rsidR="00586E8A">
        <w:t xml:space="preserve"> could</w:t>
      </w:r>
      <w:r w:rsidR="005C56C9">
        <w:t xml:space="preserve"> </w:t>
      </w:r>
      <w:r>
        <w:t>contribute to a reduction in negative mental health impacts</w:t>
      </w:r>
      <w:r w:rsidR="00586E8A">
        <w:t xml:space="preserve"> in society</w:t>
      </w:r>
      <w:r>
        <w:t xml:space="preserve">. </w:t>
      </w:r>
      <w:r w:rsidR="004230D4">
        <w:t xml:space="preserve">This same reasoning could also apply to parents whose pregnancy resulted in an NTD live birth – which can be a shocking and traumatic event on its own, and is of course particularly relevant in the case of Anencephaly. </w:t>
      </w:r>
      <w:r>
        <w:t xml:space="preserve">The precise impacts of </w:t>
      </w:r>
      <w:r w:rsidR="004230D4">
        <w:t xml:space="preserve">these </w:t>
      </w:r>
      <w:r w:rsidR="00C857BC">
        <w:t>factors</w:t>
      </w:r>
      <w:r>
        <w:t xml:space="preserve"> have not been monetised, again due to a lack of data.</w:t>
      </w:r>
    </w:p>
    <w:p w14:paraId="74F4A8E9" w14:textId="77777777" w:rsidR="00DB3909" w:rsidRDefault="00DB3909" w:rsidP="00492345"/>
    <w:p w14:paraId="7DA28E7C" w14:textId="68DB0C99" w:rsidR="0049543B" w:rsidRDefault="00A937E6" w:rsidP="00492345">
      <w:r>
        <w:t>People</w:t>
      </w:r>
      <w:r w:rsidR="00DB3909">
        <w:t xml:space="preserve"> currently living with an NTD</w:t>
      </w:r>
      <w:r w:rsidR="0049543B">
        <w:t xml:space="preserve"> </w:t>
      </w:r>
      <w:r>
        <w:t>often live independent, fulfilling lives and are valued members of their families and communities</w:t>
      </w:r>
      <w:r w:rsidR="00913D2C">
        <w:t xml:space="preserve">. </w:t>
      </w:r>
      <w:r w:rsidR="00967494">
        <w:t xml:space="preserve">Nonetheless, </w:t>
      </w:r>
      <w:r w:rsidR="00341208">
        <w:t xml:space="preserve">disabilities can have a pronounced impact on mental health, as shown in </w:t>
      </w:r>
      <w:hyperlink r:id="rId36" w:history="1">
        <w:r w:rsidR="00C857BC" w:rsidRPr="00A535F2">
          <w:rPr>
            <w:rStyle w:val="Hyperlink"/>
            <w:rFonts w:cstheme="minorBidi"/>
            <w:color w:val="0070C0"/>
          </w:rPr>
          <w:t>ONS data for 2019</w:t>
        </w:r>
      </w:hyperlink>
      <w:r w:rsidR="00341208">
        <w:t xml:space="preserve">. This data </w:t>
      </w:r>
      <w:r w:rsidR="00C857BC">
        <w:t xml:space="preserve">shows that disabled people in the UK report </w:t>
      </w:r>
      <w:r w:rsidR="006C26CD">
        <w:t xml:space="preserve">(a) </w:t>
      </w:r>
      <w:r w:rsidR="00C857BC">
        <w:t xml:space="preserve">lower </w:t>
      </w:r>
      <w:r w:rsidR="001A40C6">
        <w:t xml:space="preserve">happiness and life satisfaction ratings, </w:t>
      </w:r>
      <w:r w:rsidR="006C26CD">
        <w:t xml:space="preserve">(b) </w:t>
      </w:r>
      <w:r w:rsidR="00331904">
        <w:t xml:space="preserve">higher anxiety ratings, and (c) </w:t>
      </w:r>
      <w:r w:rsidR="00E8557C">
        <w:t xml:space="preserve">four times the levels of </w:t>
      </w:r>
      <w:r w:rsidR="00E8557C" w:rsidRPr="00634066">
        <w:rPr>
          <w:rFonts w:ascii="Arial" w:hAnsi="Arial" w:cs="Arial"/>
        </w:rPr>
        <w:t>loneliness</w:t>
      </w:r>
      <w:r w:rsidR="00331904" w:rsidRPr="00634066">
        <w:rPr>
          <w:rStyle w:val="FootnoteReference"/>
          <w:rFonts w:ascii="Arial" w:hAnsi="Arial" w:cs="Arial"/>
          <w:sz w:val="24"/>
        </w:rPr>
        <w:footnoteReference w:id="18"/>
      </w:r>
      <w:r w:rsidR="00E8557C" w:rsidRPr="00634066">
        <w:rPr>
          <w:rFonts w:ascii="Arial" w:hAnsi="Arial" w:cs="Arial"/>
        </w:rPr>
        <w:t xml:space="preserve"> than</w:t>
      </w:r>
      <w:r w:rsidR="00E8557C">
        <w:t xml:space="preserve"> non-disabled people.</w:t>
      </w:r>
      <w:r w:rsidR="00634066">
        <w:t xml:space="preserve"> </w:t>
      </w:r>
      <w:r w:rsidR="00341208">
        <w:t xml:space="preserve">Data on the mental </w:t>
      </w:r>
      <w:r w:rsidR="00AD12D3">
        <w:t xml:space="preserve">wellbeing </w:t>
      </w:r>
      <w:r w:rsidR="00E71D58">
        <w:t xml:space="preserve">specifically </w:t>
      </w:r>
      <w:r w:rsidR="00AD12D3">
        <w:t>for</w:t>
      </w:r>
      <w:r w:rsidR="00341208">
        <w:t xml:space="preserve"> those living with NTDs is lacking</w:t>
      </w:r>
      <w:r w:rsidR="00E71D58">
        <w:t xml:space="preserve">. </w:t>
      </w:r>
      <w:r w:rsidR="00913D2C">
        <w:t xml:space="preserve">Some </w:t>
      </w:r>
      <w:r w:rsidR="00634066">
        <w:t xml:space="preserve">people living with NTDs </w:t>
      </w:r>
      <w:r w:rsidR="00913D2C">
        <w:t xml:space="preserve">may </w:t>
      </w:r>
      <w:r w:rsidR="00634066">
        <w:t xml:space="preserve">also </w:t>
      </w:r>
      <w:r w:rsidR="00913D2C">
        <w:t>face disability discrimination, which has documented negative impacts on mental wellbeing (</w:t>
      </w:r>
      <w:hyperlink r:id="rId37" w:history="1">
        <w:r w:rsidR="002C3BF0" w:rsidRPr="00AF74F9">
          <w:rPr>
            <w:rStyle w:val="Hyperlink"/>
            <w:rFonts w:cstheme="minorBidi"/>
            <w:color w:val="0070C0"/>
          </w:rPr>
          <w:t>Hackett et al, 2020</w:t>
        </w:r>
      </w:hyperlink>
      <w:r w:rsidR="002C3BF0">
        <w:t>)</w:t>
      </w:r>
      <w:r w:rsidR="00E551CB">
        <w:t>.</w:t>
      </w:r>
      <w:r w:rsidR="00634066">
        <w:t xml:space="preserve"> </w:t>
      </w:r>
      <w:r w:rsidR="00E27520">
        <w:t>These negative mental health/wellbeing impacts</w:t>
      </w:r>
      <w:r w:rsidR="00634066">
        <w:t xml:space="preserve"> have also not been monetised in this impact assessment, as the data </w:t>
      </w:r>
      <w:r w:rsidR="005470C2">
        <w:t xml:space="preserve">is scarce and </w:t>
      </w:r>
      <w:r w:rsidR="00E27520">
        <w:t xml:space="preserve">impacts </w:t>
      </w:r>
      <w:r w:rsidR="000A6A19">
        <w:t>difficult</w:t>
      </w:r>
      <w:r w:rsidR="005470C2">
        <w:t xml:space="preserve"> to monetise.</w:t>
      </w:r>
    </w:p>
    <w:p w14:paraId="6F3E1477" w14:textId="1D8ADFF9" w:rsidR="00492345" w:rsidRPr="00AF74F9" w:rsidRDefault="60A8E8B3" w:rsidP="007B0647">
      <w:pPr>
        <w:pStyle w:val="Heading4"/>
        <w:rPr>
          <w:color w:val="auto"/>
        </w:rPr>
      </w:pPr>
      <w:r w:rsidRPr="00AF74F9">
        <w:rPr>
          <w:color w:val="auto"/>
        </w:rPr>
        <w:t>Wider benefits</w:t>
      </w:r>
    </w:p>
    <w:p w14:paraId="3651F793" w14:textId="40EDC6D3" w:rsidR="007B01D9" w:rsidRDefault="00492345" w:rsidP="00492345">
      <w:r>
        <w:t>There are potentially wider benefits to increasing the population folate intake beyond reducing the prevalence of NTDs. However, in many cases the evidence remains mixed, and for this reason we make no attempt to estimate or monetise impacts beyond a reduction in the prevalence of NTDs.</w:t>
      </w:r>
    </w:p>
    <w:p w14:paraId="2A7B40D7" w14:textId="539F8553" w:rsidR="007B01D9" w:rsidRDefault="5EE69E68" w:rsidP="00DA0433">
      <w:pPr>
        <w:pStyle w:val="Heading2"/>
        <w:rPr>
          <w:rFonts w:eastAsia="Arial"/>
        </w:rPr>
      </w:pPr>
      <w:r>
        <w:t>Option 3</w:t>
      </w:r>
    </w:p>
    <w:p w14:paraId="7BC48875" w14:textId="22D9C9ED" w:rsidR="007B01D9" w:rsidRDefault="5EE69E68" w:rsidP="005D011F">
      <w:pPr>
        <w:pStyle w:val="Heading3"/>
      </w:pPr>
      <w:r>
        <w:t>Monetised benefits</w:t>
      </w:r>
    </w:p>
    <w:p w14:paraId="03275B08" w14:textId="67174674" w:rsidR="007B01D9" w:rsidRDefault="007B01D9" w:rsidP="00492345">
      <w:r>
        <w:t>No additional benefits have been calculated and monetised in addition to those in Option 2.</w:t>
      </w:r>
    </w:p>
    <w:p w14:paraId="5DDF45FA" w14:textId="0804DE12" w:rsidR="007B01D9" w:rsidRDefault="5EE69E68" w:rsidP="005D011F">
      <w:pPr>
        <w:pStyle w:val="Heading3"/>
      </w:pPr>
      <w:r>
        <w:t>Non-monetised benefits</w:t>
      </w:r>
    </w:p>
    <w:p w14:paraId="579EF761" w14:textId="56D96FDF" w:rsidR="00475F04" w:rsidRPr="00AF74F9" w:rsidRDefault="6B33CF9A" w:rsidP="007B0647">
      <w:pPr>
        <w:pStyle w:val="Heading4"/>
        <w:rPr>
          <w:color w:val="auto"/>
        </w:rPr>
      </w:pPr>
      <w:r w:rsidRPr="00AF74F9">
        <w:rPr>
          <w:color w:val="auto"/>
        </w:rPr>
        <w:t>Legal clarity</w:t>
      </w:r>
    </w:p>
    <w:p w14:paraId="3D6AF3AC" w14:textId="15492BD2" w:rsidR="00F87980" w:rsidRPr="00F87980" w:rsidRDefault="00475F04" w:rsidP="00F87980">
      <w:r>
        <w:t xml:space="preserve">The option provides legal clarity to </w:t>
      </w:r>
      <w:r w:rsidR="00AA1B6D">
        <w:t>businesses</w:t>
      </w:r>
      <w:r>
        <w:t xml:space="preserve">, making it easier to be compliant with the calcium criteria rules as it removes the possibility </w:t>
      </w:r>
      <w:r w:rsidR="00D30FAC">
        <w:t>of ambiguity or confusion between the two overlapping regulations in the BFRs and Regulation 231/2012.</w:t>
      </w:r>
      <w:r w:rsidR="00AA1B6D">
        <w:t xml:space="preserve"> The same legal clarity can have unmonetised benefits for enforcement authorities as well, </w:t>
      </w:r>
      <w:r w:rsidR="00A717EF">
        <w:t>saving costs associated with enforcement and potentially prosecution.</w:t>
      </w:r>
    </w:p>
    <w:p w14:paraId="0FF6AC11" w14:textId="77777777" w:rsidR="00D3012D" w:rsidRDefault="24BA3A55" w:rsidP="00DA0433">
      <w:pPr>
        <w:pStyle w:val="Heading2"/>
        <w:rPr>
          <w:rFonts w:eastAsia="Arial"/>
        </w:rPr>
      </w:pPr>
      <w:r>
        <w:t>Option 4</w:t>
      </w:r>
    </w:p>
    <w:p w14:paraId="5C20C010" w14:textId="77777777" w:rsidR="00F87980" w:rsidRDefault="34C3B2F3" w:rsidP="005D011F">
      <w:pPr>
        <w:pStyle w:val="Heading3"/>
      </w:pPr>
      <w:r>
        <w:t>Monetised benefits</w:t>
      </w:r>
    </w:p>
    <w:p w14:paraId="6F750A70" w14:textId="77777777" w:rsidR="00F87980" w:rsidRDefault="00F87980" w:rsidP="00F87980">
      <w:r>
        <w:t>No additional benefits have been calculated and monetised in addition to those in Options 2 and 3.</w:t>
      </w:r>
    </w:p>
    <w:p w14:paraId="0390184E" w14:textId="77777777" w:rsidR="00104327" w:rsidRDefault="50297BAC" w:rsidP="005D011F">
      <w:pPr>
        <w:pStyle w:val="Heading3"/>
      </w:pPr>
      <w:r>
        <w:t>Non-monetised benefits</w:t>
      </w:r>
    </w:p>
    <w:p w14:paraId="4A010A47" w14:textId="77777777" w:rsidR="00104327" w:rsidRPr="00AF74F9" w:rsidRDefault="50297BAC" w:rsidP="007B0647">
      <w:pPr>
        <w:pStyle w:val="Heading4"/>
        <w:rPr>
          <w:color w:val="auto"/>
        </w:rPr>
      </w:pPr>
      <w:r w:rsidRPr="00AF74F9">
        <w:rPr>
          <w:color w:val="auto"/>
        </w:rPr>
        <w:t>Legal clarity</w:t>
      </w:r>
    </w:p>
    <w:p w14:paraId="6BDAADB3" w14:textId="02044E2C" w:rsidR="00057A82" w:rsidRDefault="00104327" w:rsidP="00104327">
      <w:r>
        <w:t xml:space="preserve">The option provides </w:t>
      </w:r>
      <w:r w:rsidR="000271AF">
        <w:t xml:space="preserve">additional </w:t>
      </w:r>
      <w:r>
        <w:t>legal clarity to businesses,</w:t>
      </w:r>
      <w:r w:rsidR="00057A82">
        <w:t xml:space="preserve"> resolving the ambiguity as to what grains they are expected to fortify. </w:t>
      </w:r>
      <w:r>
        <w:t>Th</w:t>
      </w:r>
      <w:r w:rsidR="00057A82">
        <w:t xml:space="preserve">is </w:t>
      </w:r>
      <w:r>
        <w:t>legal clarity can have unmonetised benefits for enforcement authorities as well, saving costs associated with enforcement and potentially prosecution.</w:t>
      </w:r>
    </w:p>
    <w:p w14:paraId="10F4971A" w14:textId="04A4EE92" w:rsidR="00057A82" w:rsidRPr="00AF74F9" w:rsidRDefault="1940DBB2" w:rsidP="007B0647">
      <w:pPr>
        <w:pStyle w:val="Heading4"/>
        <w:rPr>
          <w:color w:val="auto"/>
        </w:rPr>
      </w:pPr>
      <w:r w:rsidRPr="00AF74F9">
        <w:rPr>
          <w:color w:val="auto"/>
        </w:rPr>
        <w:t>Consumer choice</w:t>
      </w:r>
    </w:p>
    <w:p w14:paraId="332B67C2" w14:textId="795CFB18" w:rsidR="000C13BB" w:rsidRPr="00203E81" w:rsidRDefault="00203E81" w:rsidP="00203E81">
      <w:r>
        <w:t xml:space="preserve">This option has an added indirect benefit to consumers in the form of increasing consumer choice by providing alternative unfortified options alongside non-wheat based flour. </w:t>
      </w:r>
      <w:r w:rsidR="00B83BAD">
        <w:t>This should be taken into consideration for those with particular dietary requirements, where avoiding fortificants like calcium and iron could be advised. This is unmonetised due to the difficulty of placing a monetary value on consumer choice.</w:t>
      </w:r>
    </w:p>
    <w:p w14:paraId="2C1A6E32" w14:textId="55D160E6" w:rsidR="00D3012D" w:rsidRDefault="24BA3A55" w:rsidP="00DA0433">
      <w:pPr>
        <w:pStyle w:val="Heading2"/>
        <w:rPr>
          <w:rFonts w:eastAsia="Arial"/>
        </w:rPr>
      </w:pPr>
      <w:r w:rsidRPr="3C6AB4A7">
        <w:rPr>
          <w:rFonts w:eastAsia="Arial"/>
        </w:rPr>
        <w:t>Option 5</w:t>
      </w:r>
      <w:r w:rsidR="18602243" w:rsidRPr="3C6AB4A7">
        <w:rPr>
          <w:rFonts w:eastAsia="Arial"/>
        </w:rPr>
        <w:t xml:space="preserve"> (introduce exemptions)</w:t>
      </w:r>
    </w:p>
    <w:p w14:paraId="5F8DADFF" w14:textId="77777777" w:rsidR="00F87980" w:rsidRDefault="34C3B2F3" w:rsidP="005D011F">
      <w:pPr>
        <w:pStyle w:val="Heading3"/>
      </w:pPr>
      <w:r>
        <w:t>Monetised benefits</w:t>
      </w:r>
    </w:p>
    <w:p w14:paraId="5958ECB2" w14:textId="4D1AF620" w:rsidR="00F87980" w:rsidRPr="00AF74F9" w:rsidRDefault="3532F3FF" w:rsidP="007B0647">
      <w:pPr>
        <w:pStyle w:val="Heading4"/>
        <w:rPr>
          <w:color w:val="auto"/>
        </w:rPr>
      </w:pPr>
      <w:r w:rsidRPr="00AF74F9">
        <w:rPr>
          <w:color w:val="auto"/>
        </w:rPr>
        <w:t>Reduction in fortification costs for small-scale millers</w:t>
      </w:r>
    </w:p>
    <w:p w14:paraId="341111AD" w14:textId="17B82A8B" w:rsidR="005B50AE" w:rsidRDefault="00664B38" w:rsidP="00F329FD">
      <w:r>
        <w:t xml:space="preserve">This option would qualify small-scale millers </w:t>
      </w:r>
      <w:r w:rsidR="00413409">
        <w:t xml:space="preserve">to no longer fortify their flour, lowering </w:t>
      </w:r>
      <w:r w:rsidR="0028047C">
        <w:t xml:space="preserve">their </w:t>
      </w:r>
      <w:r w:rsidR="00413409">
        <w:t>fortification costs to zero.</w:t>
      </w:r>
      <w:r w:rsidR="00A01FC3">
        <w:t xml:space="preserve"> While this benefits small-scale millers, it is presented as a reduction in estimated costs and closer to the Business-As-Usual scenario</w:t>
      </w:r>
      <w:r w:rsidR="00C20E1E">
        <w:t xml:space="preserve"> (for these millers)</w:t>
      </w:r>
      <w:r w:rsidR="00A01FC3">
        <w:t>.</w:t>
      </w:r>
    </w:p>
    <w:p w14:paraId="71656DDF" w14:textId="662F894F" w:rsidR="005B50AE" w:rsidRPr="00AF74F9" w:rsidRDefault="46482C69" w:rsidP="007B0647">
      <w:pPr>
        <w:pStyle w:val="Heading4"/>
        <w:rPr>
          <w:color w:val="auto"/>
        </w:rPr>
      </w:pPr>
      <w:r w:rsidRPr="00AF74F9">
        <w:rPr>
          <w:color w:val="auto"/>
        </w:rPr>
        <w:t xml:space="preserve">Impact on fortified NWWF supply by exempting small-scale millers </w:t>
      </w:r>
    </w:p>
    <w:p w14:paraId="209B540B" w14:textId="2F044E5B" w:rsidR="00D179D2" w:rsidRPr="00D179D2" w:rsidRDefault="00D179D2" w:rsidP="00D179D2">
      <w:r>
        <w:t xml:space="preserve">Exempting small-scale millers would potentially reduce the amount of fortified non-wholemeal wheat flour on the market, and could therefore reduce the population intake of fortified flour – which would </w:t>
      </w:r>
      <w:r w:rsidRPr="00894F90">
        <w:rPr>
          <w:i/>
          <w:iCs/>
        </w:rPr>
        <w:t>reduce</w:t>
      </w:r>
      <w:r>
        <w:t xml:space="preserve"> the total benefits. However, small-scale millers tend to produce a variety of flours, including wholemeal wheat flour or non-wheat flour and/or not be a major component in the average person’s </w:t>
      </w:r>
      <w:r w:rsidR="00EC61CA">
        <w:t>flour intake</w:t>
      </w:r>
      <w:r>
        <w:t xml:space="preserve">. Therefore, we assume that any potential reduction in the </w:t>
      </w:r>
      <w:r w:rsidR="0041607D">
        <w:t>population intake</w:t>
      </w:r>
      <w:r>
        <w:t xml:space="preserve"> of fortified NWWF is marginal, and that the worst effects of this still fall within our estimated range of benefits</w:t>
      </w:r>
      <w:r w:rsidR="003C55E9">
        <w:t xml:space="preserve"> (i.e. on the lower end of the range)</w:t>
      </w:r>
      <w:r>
        <w:t>.</w:t>
      </w:r>
    </w:p>
    <w:p w14:paraId="437D596E" w14:textId="77777777" w:rsidR="00F87980" w:rsidRDefault="34C3B2F3" w:rsidP="005D011F">
      <w:pPr>
        <w:pStyle w:val="Heading3"/>
      </w:pPr>
      <w:r>
        <w:t>Non-monetised benefits</w:t>
      </w:r>
    </w:p>
    <w:p w14:paraId="4A74B4EB" w14:textId="0E3DEF0C" w:rsidR="00E80DE5" w:rsidRPr="00AF74F9" w:rsidRDefault="0B36E232" w:rsidP="007B0647">
      <w:pPr>
        <w:pStyle w:val="Heading4"/>
        <w:rPr>
          <w:color w:val="auto"/>
        </w:rPr>
      </w:pPr>
      <w:r w:rsidRPr="00AF74F9">
        <w:rPr>
          <w:color w:val="auto"/>
        </w:rPr>
        <w:t xml:space="preserve">Viability </w:t>
      </w:r>
      <w:r w:rsidR="1E3A305C" w:rsidRPr="00AF74F9">
        <w:rPr>
          <w:color w:val="auto"/>
        </w:rPr>
        <w:t xml:space="preserve">of </w:t>
      </w:r>
      <w:r w:rsidRPr="00AF74F9">
        <w:rPr>
          <w:color w:val="auto"/>
        </w:rPr>
        <w:t>small-scale millers</w:t>
      </w:r>
    </w:p>
    <w:p w14:paraId="41AA21A1" w14:textId="0AA3F4BB" w:rsidR="00E80DE5" w:rsidRDefault="00E80DE5" w:rsidP="00E80DE5">
      <w:r>
        <w:t xml:space="preserve">This option </w:t>
      </w:r>
      <w:r w:rsidR="001B2E55">
        <w:t>would support the viability of small or micro-scaled millers, given the removal of fortification requirements for these types of millers</w:t>
      </w:r>
      <w:r w:rsidR="00F329FD">
        <w:t xml:space="preserve"> and the practical, legal and technological limitations for these businesses</w:t>
      </w:r>
      <w:r w:rsidR="001B2E55">
        <w:t>.</w:t>
      </w:r>
      <w:r>
        <w:br w:type="page"/>
      </w:r>
    </w:p>
    <w:p w14:paraId="14839C7B" w14:textId="6667AF08" w:rsidR="00492345" w:rsidRDefault="7552EE50" w:rsidP="00B126F4">
      <w:pPr>
        <w:pStyle w:val="Heading1"/>
      </w:pPr>
      <w:bookmarkStart w:id="129" w:name="_Toc164407121"/>
      <w:bookmarkStart w:id="130" w:name="_Ref165286084"/>
      <w:bookmarkStart w:id="131" w:name="_Toc165382853"/>
      <w:r>
        <w:t>Annex II. Calculation of Costs</w:t>
      </w:r>
      <w:bookmarkEnd w:id="129"/>
      <w:bookmarkEnd w:id="130"/>
      <w:bookmarkEnd w:id="131"/>
    </w:p>
    <w:p w14:paraId="087889EA" w14:textId="154801FD" w:rsidR="009E7CBC" w:rsidRDefault="009E7CBC" w:rsidP="009E7CBC">
      <w:r>
        <w:t xml:space="preserve">The analysis makes a number of broad assumptions </w:t>
      </w:r>
      <w:r w:rsidR="00452A90">
        <w:t xml:space="preserve">on labelling, </w:t>
      </w:r>
      <w:r w:rsidR="009C705B">
        <w:t>package waste</w:t>
      </w:r>
      <w:r w:rsidR="00452A90">
        <w:t xml:space="preserve">, and familiarisation costs, as well as </w:t>
      </w:r>
      <w:r w:rsidR="009C705B">
        <w:t xml:space="preserve">on </w:t>
      </w:r>
      <w:r w:rsidR="00452A90">
        <w:t>the number of businesses affected in Scotland</w:t>
      </w:r>
      <w:r>
        <w:t>.</w:t>
      </w:r>
      <w:r w:rsidR="00452A90">
        <w:t xml:space="preserve"> Enforcement costs may also vary.</w:t>
      </w:r>
      <w:r>
        <w:t xml:space="preserve"> A low, central, and high estimate have been provided in an attempt to capture some of the uncertainty surrounding these assumptions.</w:t>
      </w:r>
    </w:p>
    <w:p w14:paraId="134F8331" w14:textId="77777777" w:rsidR="009E7CBC" w:rsidRDefault="009E7CBC" w:rsidP="009E7CBC"/>
    <w:p w14:paraId="6C68B694" w14:textId="322D1A0E" w:rsidR="009E7CBC" w:rsidRPr="007F7B64" w:rsidRDefault="009E7CBC" w:rsidP="009E7CBC">
      <w:pPr>
        <w:pStyle w:val="Caption"/>
        <w:keepNext/>
        <w:rPr>
          <w:color w:val="auto"/>
        </w:rPr>
      </w:pPr>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22</w:t>
      </w:r>
      <w:r w:rsidRPr="007F7B64">
        <w:rPr>
          <w:noProof/>
          <w:color w:val="auto"/>
        </w:rPr>
        <w:fldChar w:fldCharType="end"/>
      </w:r>
      <w:r w:rsidRPr="007F7B64">
        <w:rPr>
          <w:color w:val="auto"/>
        </w:rPr>
        <w:t>. Assumptions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613"/>
        <w:gridCol w:w="4561"/>
        <w:gridCol w:w="4562"/>
      </w:tblGrid>
      <w:tr w:rsidR="009E7CBC" w14:paraId="58775D6B" w14:textId="77777777" w:rsidTr="004A2E41">
        <w:tc>
          <w:tcPr>
            <w:tcW w:w="613" w:type="dxa"/>
          </w:tcPr>
          <w:p w14:paraId="0C357896" w14:textId="0AE0CD57" w:rsidR="009E7CBC" w:rsidRDefault="009E7CBC" w:rsidP="004A2E41">
            <w:r>
              <w:t>A</w:t>
            </w:r>
            <w:r w:rsidR="00C81200">
              <w:t>23</w:t>
            </w:r>
          </w:p>
        </w:tc>
        <w:tc>
          <w:tcPr>
            <w:tcW w:w="4561" w:type="dxa"/>
          </w:tcPr>
          <w:p w14:paraId="7A5FD267" w14:textId="31F17B41" w:rsidR="009E7CBC" w:rsidRDefault="00062901" w:rsidP="004A2E41">
            <w:r>
              <w:t xml:space="preserve">Costs of familiarisation with legislation can be approximated by the amount of time to read and/or explain </w:t>
            </w:r>
            <w:r w:rsidR="00801D88">
              <w:t>the legislation text.</w:t>
            </w:r>
          </w:p>
        </w:tc>
        <w:tc>
          <w:tcPr>
            <w:tcW w:w="4562" w:type="dxa"/>
          </w:tcPr>
          <w:p w14:paraId="7B99DB1A" w14:textId="491AA46F" w:rsidR="009E7CBC" w:rsidRDefault="008E02D3" w:rsidP="004A2E41">
            <w:r>
              <w:t>There is a lack of data on actual industry or enforcement familiarisation costs.</w:t>
            </w:r>
          </w:p>
        </w:tc>
      </w:tr>
      <w:tr w:rsidR="009E7CBC" w14:paraId="5E10D809" w14:textId="77777777" w:rsidTr="004A2E41">
        <w:tc>
          <w:tcPr>
            <w:tcW w:w="613" w:type="dxa"/>
          </w:tcPr>
          <w:p w14:paraId="7647BE24" w14:textId="573834CB" w:rsidR="009E7CBC" w:rsidRDefault="00B14852" w:rsidP="004A2E41">
            <w:r>
              <w:t>A</w:t>
            </w:r>
            <w:r w:rsidR="009D3627">
              <w:t>24</w:t>
            </w:r>
          </w:p>
        </w:tc>
        <w:tc>
          <w:tcPr>
            <w:tcW w:w="4561" w:type="dxa"/>
          </w:tcPr>
          <w:p w14:paraId="395656FA" w14:textId="2EB3D8CA" w:rsidR="009E7CBC" w:rsidRDefault="00B72E6C" w:rsidP="004A2E41">
            <w:r>
              <w:t>The new regulations and guidance are of a similar length to existing Bread and Flour Regulations (1988)</w:t>
            </w:r>
            <w:r w:rsidR="00864AB8">
              <w:t>, and someone reading/explaining this would read/explain the entire piece of text.</w:t>
            </w:r>
          </w:p>
        </w:tc>
        <w:tc>
          <w:tcPr>
            <w:tcW w:w="4562" w:type="dxa"/>
          </w:tcPr>
          <w:p w14:paraId="40537DE0" w14:textId="3B3D8A6F" w:rsidR="009E7CBC" w:rsidRDefault="009E7CBC" w:rsidP="004A2E41"/>
        </w:tc>
      </w:tr>
      <w:tr w:rsidR="00A50783" w14:paraId="4DDE987E" w14:textId="77777777" w:rsidTr="004A2E41">
        <w:tc>
          <w:tcPr>
            <w:tcW w:w="613" w:type="dxa"/>
          </w:tcPr>
          <w:p w14:paraId="473CAD0E" w14:textId="43C23699" w:rsidR="00A50783" w:rsidRDefault="00A50783" w:rsidP="00A50783">
            <w:r>
              <w:t>A25</w:t>
            </w:r>
          </w:p>
        </w:tc>
        <w:tc>
          <w:tcPr>
            <w:tcW w:w="4561" w:type="dxa"/>
          </w:tcPr>
          <w:p w14:paraId="7DC7DF7A" w14:textId="42ED227B" w:rsidR="00A50783" w:rsidRDefault="00A50783" w:rsidP="00A50783">
            <w:r>
              <w:t>The person reading and explaining this new legislation is an ‘R&amp;D Manager’ as per the ONS ASHE classification (or has a similar wage).</w:t>
            </w:r>
          </w:p>
        </w:tc>
        <w:tc>
          <w:tcPr>
            <w:tcW w:w="4562" w:type="dxa"/>
          </w:tcPr>
          <w:p w14:paraId="77D55303" w14:textId="68F90EBB" w:rsidR="00A50783" w:rsidRDefault="00A50783" w:rsidP="00A50783">
            <w:r>
              <w:t>Ease of calculation and data availability.</w:t>
            </w:r>
          </w:p>
        </w:tc>
      </w:tr>
      <w:tr w:rsidR="00A50783" w14:paraId="6A9EF0DF" w14:textId="77777777" w:rsidTr="004A2E41">
        <w:tc>
          <w:tcPr>
            <w:tcW w:w="613" w:type="dxa"/>
          </w:tcPr>
          <w:p w14:paraId="0C0EC822" w14:textId="798CA2D8" w:rsidR="00A50783" w:rsidRDefault="00A50783" w:rsidP="00A50783">
            <w:r>
              <w:t>A26</w:t>
            </w:r>
          </w:p>
        </w:tc>
        <w:tc>
          <w:tcPr>
            <w:tcW w:w="4561" w:type="dxa"/>
          </w:tcPr>
          <w:p w14:paraId="2E207374" w14:textId="55B1971A" w:rsidR="00A50783" w:rsidRDefault="00A50783" w:rsidP="00A50783">
            <w:r>
              <w:t>The R&amp;D Manager explains the legislation to two managers or directors (‘Corporate Manager and Director’), with the time taken to explain being identical to the reading time.</w:t>
            </w:r>
          </w:p>
        </w:tc>
        <w:tc>
          <w:tcPr>
            <w:tcW w:w="4562" w:type="dxa"/>
          </w:tcPr>
          <w:p w14:paraId="2DF9FE56" w14:textId="1DE4400D" w:rsidR="00A50783" w:rsidRDefault="004C53C7" w:rsidP="00A50783">
            <w:r>
              <w:t>Ease of calculation and data availability.</w:t>
            </w:r>
          </w:p>
        </w:tc>
      </w:tr>
      <w:tr w:rsidR="00A50783" w14:paraId="3AA19E27" w14:textId="77777777" w:rsidTr="004A2E41">
        <w:tc>
          <w:tcPr>
            <w:tcW w:w="613" w:type="dxa"/>
          </w:tcPr>
          <w:p w14:paraId="123E337E" w14:textId="49384C20" w:rsidR="00A50783" w:rsidRDefault="00A50783" w:rsidP="00A50783">
            <w:r>
              <w:t>A27</w:t>
            </w:r>
          </w:p>
        </w:tc>
        <w:tc>
          <w:tcPr>
            <w:tcW w:w="4561" w:type="dxa"/>
          </w:tcPr>
          <w:p w14:paraId="774A253D" w14:textId="2CE2A397" w:rsidR="00A50783" w:rsidRDefault="00A50783" w:rsidP="00A50783">
            <w:r>
              <w:t>The number of R&amp;D/Corporate Manager reading, explaining, or listening to the legislation does not vary depending on miller size.</w:t>
            </w:r>
          </w:p>
        </w:tc>
        <w:tc>
          <w:tcPr>
            <w:tcW w:w="4562" w:type="dxa"/>
          </w:tcPr>
          <w:p w14:paraId="72838566" w14:textId="0DAAA675" w:rsidR="00A50783" w:rsidRDefault="00A50783" w:rsidP="00A50783">
            <w:r>
              <w:t>There is a lack of data on the proportion of managers to total employees in millers.</w:t>
            </w:r>
          </w:p>
        </w:tc>
      </w:tr>
      <w:tr w:rsidR="00A50783" w14:paraId="631BC3C1" w14:textId="77777777" w:rsidTr="004A2E41">
        <w:tc>
          <w:tcPr>
            <w:tcW w:w="613" w:type="dxa"/>
          </w:tcPr>
          <w:p w14:paraId="40DC96FE" w14:textId="73DEB945" w:rsidR="00A50783" w:rsidRDefault="00A50783" w:rsidP="00A50783">
            <w:r>
              <w:t>A28</w:t>
            </w:r>
          </w:p>
        </w:tc>
        <w:tc>
          <w:tcPr>
            <w:tcW w:w="4561" w:type="dxa"/>
          </w:tcPr>
          <w:p w14:paraId="69996CD5" w14:textId="04F9AF5A" w:rsidR="00A50783" w:rsidRDefault="00A50783" w:rsidP="00A50783">
            <w:r>
              <w:t>Average wages for the UK for these professions are representative of the wages in Scotland.</w:t>
            </w:r>
          </w:p>
        </w:tc>
        <w:tc>
          <w:tcPr>
            <w:tcW w:w="4562" w:type="dxa"/>
          </w:tcPr>
          <w:p w14:paraId="3DF10A0F" w14:textId="3DF6B0B6" w:rsidR="00A50783" w:rsidRDefault="00A50783" w:rsidP="00A50783">
            <w:r>
              <w:t>A lack of data for Scotland in the 2021 ONS ASHE dataset (due to suppression).</w:t>
            </w:r>
          </w:p>
        </w:tc>
      </w:tr>
      <w:tr w:rsidR="00A50783" w14:paraId="2E3A04FE" w14:textId="77777777" w:rsidTr="004A2E41">
        <w:tc>
          <w:tcPr>
            <w:tcW w:w="613" w:type="dxa"/>
          </w:tcPr>
          <w:p w14:paraId="1D920CE3" w14:textId="58380D17" w:rsidR="00A50783" w:rsidRDefault="00A50783" w:rsidP="00A50783">
            <w:r>
              <w:t>A29</w:t>
            </w:r>
          </w:p>
        </w:tc>
        <w:tc>
          <w:tcPr>
            <w:tcW w:w="4561" w:type="dxa"/>
          </w:tcPr>
          <w:p w14:paraId="070518D1" w14:textId="5396B69A" w:rsidR="00A50783" w:rsidRDefault="00A50783" w:rsidP="00A50783">
            <w:r>
              <w:t>There are no millers in Scotland with 250 or more employees.</w:t>
            </w:r>
          </w:p>
        </w:tc>
        <w:tc>
          <w:tcPr>
            <w:tcW w:w="4562" w:type="dxa"/>
          </w:tcPr>
          <w:p w14:paraId="6995ADD0" w14:textId="27FE8D7E" w:rsidR="00A50783" w:rsidRDefault="00A50783" w:rsidP="00A50783">
            <w:r>
              <w:t>The ONS IDBR 2022 dataset reports there being 5 micro-sized millers, and 0 additional millers (all rounded to the nearest 5, or 0. Given the apparent concentration of micro-sized millers in Scotland, we assume that there are potentially some suppressed small or medium-sized millers in Scotland – but no large millers.</w:t>
            </w:r>
          </w:p>
        </w:tc>
      </w:tr>
      <w:tr w:rsidR="00A50783" w14:paraId="27DE4281" w14:textId="77777777" w:rsidTr="004A2E41">
        <w:tc>
          <w:tcPr>
            <w:tcW w:w="613" w:type="dxa"/>
          </w:tcPr>
          <w:p w14:paraId="23FFABD3" w14:textId="6E532E34" w:rsidR="00A50783" w:rsidRDefault="00A50783" w:rsidP="00A50783">
            <w:r>
              <w:t>A30</w:t>
            </w:r>
          </w:p>
        </w:tc>
        <w:tc>
          <w:tcPr>
            <w:tcW w:w="4561" w:type="dxa"/>
          </w:tcPr>
          <w:p w14:paraId="226F8F7A" w14:textId="6825FB41" w:rsidR="00A50783" w:rsidRDefault="00A50783" w:rsidP="00A50783">
            <w:r>
              <w:t>Familiarisation costs are only borne in the first year of the policy, and are £0 thereafter.</w:t>
            </w:r>
          </w:p>
        </w:tc>
        <w:tc>
          <w:tcPr>
            <w:tcW w:w="4562" w:type="dxa"/>
          </w:tcPr>
          <w:p w14:paraId="2CDFFC49" w14:textId="785C632D" w:rsidR="00A50783" w:rsidRDefault="00A50783" w:rsidP="00A50783"/>
        </w:tc>
      </w:tr>
      <w:tr w:rsidR="00A50783" w14:paraId="64A90170" w14:textId="77777777" w:rsidTr="004A2E41">
        <w:tc>
          <w:tcPr>
            <w:tcW w:w="613" w:type="dxa"/>
          </w:tcPr>
          <w:p w14:paraId="456872E5" w14:textId="2F3F26C6" w:rsidR="00A50783" w:rsidRDefault="00A50783" w:rsidP="00A50783">
            <w:r>
              <w:t>A31</w:t>
            </w:r>
          </w:p>
        </w:tc>
        <w:tc>
          <w:tcPr>
            <w:tcW w:w="4561" w:type="dxa"/>
          </w:tcPr>
          <w:p w14:paraId="530C9C5F" w14:textId="4C02F4F7" w:rsidR="00A50783" w:rsidRDefault="00A50783" w:rsidP="00A50783">
            <w:r>
              <w:t>Relabelling changes to packaging due to NWWF fortification are assumed to amount to ‘minor’ changes, meaning ‘</w:t>
            </w:r>
            <w:r w:rsidRPr="001E219F">
              <w:t>a change to the text on a single face of a label with no packaging size modification</w:t>
            </w:r>
            <w:r>
              <w:t>.’</w:t>
            </w:r>
          </w:p>
        </w:tc>
        <w:tc>
          <w:tcPr>
            <w:tcW w:w="4562" w:type="dxa"/>
          </w:tcPr>
          <w:p w14:paraId="25D7D8E8" w14:textId="77777777" w:rsidR="00A50783" w:rsidRDefault="00A50783" w:rsidP="00A50783"/>
        </w:tc>
      </w:tr>
      <w:tr w:rsidR="00A50783" w14:paraId="42A3C361" w14:textId="77777777" w:rsidTr="004A2E41">
        <w:tc>
          <w:tcPr>
            <w:tcW w:w="613" w:type="dxa"/>
          </w:tcPr>
          <w:p w14:paraId="60964DA3" w14:textId="21F8E192" w:rsidR="00A50783" w:rsidRDefault="00A50783" w:rsidP="00A50783">
            <w:r>
              <w:t>A32</w:t>
            </w:r>
          </w:p>
        </w:tc>
        <w:tc>
          <w:tcPr>
            <w:tcW w:w="4561" w:type="dxa"/>
          </w:tcPr>
          <w:p w14:paraId="012D4348" w14:textId="6EF9F468" w:rsidR="00A50783" w:rsidRDefault="00A50783" w:rsidP="00A50783">
            <w:r>
              <w:t>The biggest four supermarkets sell all branded products containing NWWF currently on the market.</w:t>
            </w:r>
          </w:p>
        </w:tc>
        <w:tc>
          <w:tcPr>
            <w:tcW w:w="4562" w:type="dxa"/>
          </w:tcPr>
          <w:p w14:paraId="407AD0A9" w14:textId="2C485E54" w:rsidR="00A50783" w:rsidRDefault="00CF01DB" w:rsidP="00A50783">
            <w:r>
              <w:t>Ease of calculation</w:t>
            </w:r>
            <w:r w:rsidR="00C11A3E">
              <w:t xml:space="preserve"> and lack of data</w:t>
            </w:r>
            <w:r>
              <w:t>.</w:t>
            </w:r>
          </w:p>
        </w:tc>
      </w:tr>
      <w:tr w:rsidR="00A50783" w14:paraId="2D3072A8" w14:textId="77777777" w:rsidTr="004A2E41">
        <w:tc>
          <w:tcPr>
            <w:tcW w:w="613" w:type="dxa"/>
          </w:tcPr>
          <w:p w14:paraId="66C5DBF6" w14:textId="1E499BCC" w:rsidR="00A50783" w:rsidRDefault="00A50783" w:rsidP="00A50783">
            <w:r>
              <w:t>A33</w:t>
            </w:r>
          </w:p>
        </w:tc>
        <w:tc>
          <w:tcPr>
            <w:tcW w:w="4561" w:type="dxa"/>
          </w:tcPr>
          <w:p w14:paraId="4F945B56" w14:textId="37F5C09C" w:rsidR="00A50783" w:rsidRDefault="00A50783" w:rsidP="00A50783">
            <w:r>
              <w:t>The proportion of own-label products containing NWWF in the four largest supermarkets is the same for the remaining grocery retailers.</w:t>
            </w:r>
          </w:p>
        </w:tc>
        <w:tc>
          <w:tcPr>
            <w:tcW w:w="4562" w:type="dxa"/>
          </w:tcPr>
          <w:p w14:paraId="0980CC76" w14:textId="69EAFBB5" w:rsidR="00A50783" w:rsidRDefault="00A50783" w:rsidP="00A50783">
            <w:r>
              <w:t>Data for the four largest supermarkets was available, but not for the remaining grocery retailers. It is assumed these sell (or stock) the same proportion of own-label products containing NWWF.</w:t>
            </w:r>
          </w:p>
        </w:tc>
      </w:tr>
      <w:tr w:rsidR="00A50783" w14:paraId="0C5A52A0" w14:textId="77777777" w:rsidTr="004A2E41">
        <w:tc>
          <w:tcPr>
            <w:tcW w:w="613" w:type="dxa"/>
          </w:tcPr>
          <w:p w14:paraId="34BD9EFB" w14:textId="7D462722" w:rsidR="00A50783" w:rsidRDefault="00A50783" w:rsidP="00A50783">
            <w:r>
              <w:t>A34</w:t>
            </w:r>
          </w:p>
        </w:tc>
        <w:tc>
          <w:tcPr>
            <w:tcW w:w="4561" w:type="dxa"/>
          </w:tcPr>
          <w:p w14:paraId="6988C711" w14:textId="6AE7540C" w:rsidR="00A50783" w:rsidRDefault="00A50783" w:rsidP="00A50783">
            <w:r>
              <w:rPr>
                <w:rFonts w:ascii="Arial" w:hAnsi="Arial" w:cs="Arial"/>
              </w:rPr>
              <w:t>The proportion of food products containing NWWF that are imported is the same as the national average (</w:t>
            </w:r>
            <w:r w:rsidRPr="003376BE">
              <w:rPr>
                <w:rFonts w:ascii="Arial" w:hAnsi="Arial" w:cs="Arial"/>
              </w:rPr>
              <w:t>42%</w:t>
            </w:r>
            <w:r>
              <w:rPr>
                <w:rFonts w:ascii="Arial" w:hAnsi="Arial" w:cs="Arial"/>
              </w:rPr>
              <w:t>) shown in Defra’s Agriculture in the UK (2022) publication.</w:t>
            </w:r>
          </w:p>
        </w:tc>
        <w:tc>
          <w:tcPr>
            <w:tcW w:w="4562" w:type="dxa"/>
          </w:tcPr>
          <w:p w14:paraId="3F49C6BF" w14:textId="076B6124" w:rsidR="00A50783" w:rsidRDefault="00A50783" w:rsidP="00A50783">
            <w:r>
              <w:t>There is insufficient data on the origins of products containing NWWF.</w:t>
            </w:r>
          </w:p>
        </w:tc>
      </w:tr>
      <w:tr w:rsidR="00A50783" w14:paraId="377D9618" w14:textId="77777777" w:rsidTr="004A2E41">
        <w:tc>
          <w:tcPr>
            <w:tcW w:w="613" w:type="dxa"/>
          </w:tcPr>
          <w:p w14:paraId="2D8C14CE" w14:textId="28E2E889" w:rsidR="00A50783" w:rsidRDefault="00A50783" w:rsidP="00A50783">
            <w:r>
              <w:t>A35</w:t>
            </w:r>
          </w:p>
        </w:tc>
        <w:tc>
          <w:tcPr>
            <w:tcW w:w="4561" w:type="dxa"/>
          </w:tcPr>
          <w:p w14:paraId="7206DFAD" w14:textId="53672EA6" w:rsidR="00A50783" w:rsidRDefault="00A50783" w:rsidP="00A50783">
            <w:pPr>
              <w:rPr>
                <w:rFonts w:ascii="Arial" w:hAnsi="Arial" w:cs="Arial"/>
              </w:rPr>
            </w:pPr>
            <w:r>
              <w:t>The proportion of food products containing NWWF produced in Scotland is the same as the proportion of Scottish food businesses in the UK.</w:t>
            </w:r>
          </w:p>
        </w:tc>
        <w:tc>
          <w:tcPr>
            <w:tcW w:w="4562" w:type="dxa"/>
          </w:tcPr>
          <w:p w14:paraId="0CBFDC92" w14:textId="71F9FA99" w:rsidR="00A50783" w:rsidRDefault="00A50783" w:rsidP="00A50783">
            <w:r>
              <w:t>There is insufficient data on the number of SKUs produced in Scotland compared to the UK.</w:t>
            </w:r>
          </w:p>
        </w:tc>
      </w:tr>
      <w:tr w:rsidR="00A50783" w14:paraId="7986FE16" w14:textId="77777777" w:rsidTr="004A2E41">
        <w:tc>
          <w:tcPr>
            <w:tcW w:w="613" w:type="dxa"/>
          </w:tcPr>
          <w:p w14:paraId="13F1A0BD" w14:textId="688EE329" w:rsidR="00A50783" w:rsidRDefault="00A50783" w:rsidP="00A50783">
            <w:r>
              <w:t>A36</w:t>
            </w:r>
          </w:p>
        </w:tc>
        <w:tc>
          <w:tcPr>
            <w:tcW w:w="4561" w:type="dxa"/>
          </w:tcPr>
          <w:p w14:paraId="37B02443" w14:textId="2F3CBDAC" w:rsidR="00A50783" w:rsidRPr="00F15322" w:rsidRDefault="00A50783" w:rsidP="00A50783">
            <w:r>
              <w:t>All categories of flour except brown flour and wholemeal breadmaking flour contain NWWF.</w:t>
            </w:r>
          </w:p>
        </w:tc>
        <w:tc>
          <w:tcPr>
            <w:tcW w:w="4562" w:type="dxa"/>
          </w:tcPr>
          <w:p w14:paraId="7B6C019E" w14:textId="0A615661" w:rsidR="00A50783" w:rsidRDefault="00A50783" w:rsidP="00A50783">
            <w:r>
              <w:t>Other categories, such as biscuit flour, cake flour, or starch manufacture do not specify the type of flour contained. In the absence of data, we assume all of these other categories contain NWWF.</w:t>
            </w:r>
          </w:p>
        </w:tc>
      </w:tr>
      <w:tr w:rsidR="00A50783" w14:paraId="4D0EA731" w14:textId="77777777" w:rsidTr="004A2E41">
        <w:tc>
          <w:tcPr>
            <w:tcW w:w="613" w:type="dxa"/>
          </w:tcPr>
          <w:p w14:paraId="5871D7D7" w14:textId="676E062E" w:rsidR="00A50783" w:rsidRDefault="00A50783" w:rsidP="00A50783">
            <w:r>
              <w:t>A37</w:t>
            </w:r>
          </w:p>
        </w:tc>
        <w:tc>
          <w:tcPr>
            <w:tcW w:w="4561" w:type="dxa"/>
          </w:tcPr>
          <w:p w14:paraId="22724825" w14:textId="086D7AEF" w:rsidR="00A50783" w:rsidRDefault="00A50783" w:rsidP="00A50783">
            <w:pPr>
              <w:rPr>
                <w:rFonts w:ascii="Arial" w:hAnsi="Arial" w:cs="Arial"/>
              </w:rPr>
            </w:pPr>
            <w:r>
              <w:rPr>
                <w:rFonts w:ascii="Arial" w:hAnsi="Arial" w:cs="Arial"/>
              </w:rPr>
              <w:t>The midpoint of a business size’s employee range is a suitable approximation for the number of employees in that business (e.g. a micro sized businesses with 0-9 employees is assumed to have 5 employees).</w:t>
            </w:r>
          </w:p>
        </w:tc>
        <w:tc>
          <w:tcPr>
            <w:tcW w:w="4562" w:type="dxa"/>
          </w:tcPr>
          <w:p w14:paraId="154682A5" w14:textId="5F34F8F3" w:rsidR="00A50783" w:rsidRDefault="00A50783" w:rsidP="00A50783">
            <w:r>
              <w:t>There is insufficient data on the actual (or e.g. average) number of employees for each business size band. The ceiling of the number is used when it is not a whole number (e.g. 4.5 employees is rounded up to 5). In the case of very large businesses (1,000+ employees), we assume they have 1,000 employees exactly (note assumption A29).</w:t>
            </w:r>
          </w:p>
        </w:tc>
      </w:tr>
      <w:tr w:rsidR="00A50783" w14:paraId="588D6721" w14:textId="77777777" w:rsidTr="004A2E41">
        <w:tc>
          <w:tcPr>
            <w:tcW w:w="613" w:type="dxa"/>
          </w:tcPr>
          <w:p w14:paraId="5A34ECF6" w14:textId="209BB45A" w:rsidR="00A50783" w:rsidRDefault="00A50783" w:rsidP="00A50783">
            <w:r>
              <w:t>A38</w:t>
            </w:r>
          </w:p>
        </w:tc>
        <w:tc>
          <w:tcPr>
            <w:tcW w:w="4561" w:type="dxa"/>
          </w:tcPr>
          <w:p w14:paraId="3B7376E1" w14:textId="1F64AAFA" w:rsidR="00A50783" w:rsidRDefault="00A50783" w:rsidP="00A50783">
            <w:pPr>
              <w:rPr>
                <w:rFonts w:ascii="Arial" w:hAnsi="Arial" w:cs="Arial"/>
              </w:rPr>
            </w:pPr>
            <w:r>
              <w:rPr>
                <w:rFonts w:ascii="Arial" w:hAnsi="Arial" w:cs="Arial"/>
              </w:rPr>
              <w:t>A single trading standards officer from each Local Authority will need to familiarise themselves with the new legislation, and does so in the same manner as R&amp;D managers in millers (see A23, A24).</w:t>
            </w:r>
          </w:p>
        </w:tc>
        <w:tc>
          <w:tcPr>
            <w:tcW w:w="4562" w:type="dxa"/>
          </w:tcPr>
          <w:p w14:paraId="57A46396" w14:textId="77777777" w:rsidR="00A50783" w:rsidRDefault="00A50783" w:rsidP="00A50783"/>
        </w:tc>
      </w:tr>
      <w:tr w:rsidR="00A50783" w14:paraId="470110B8" w14:textId="77777777" w:rsidTr="004A2E41">
        <w:tc>
          <w:tcPr>
            <w:tcW w:w="613" w:type="dxa"/>
          </w:tcPr>
          <w:p w14:paraId="6D361FFD" w14:textId="5CCD61ED" w:rsidR="00A50783" w:rsidRDefault="00A50783" w:rsidP="00A50783">
            <w:r>
              <w:t>A39</w:t>
            </w:r>
          </w:p>
        </w:tc>
        <w:tc>
          <w:tcPr>
            <w:tcW w:w="4561" w:type="dxa"/>
          </w:tcPr>
          <w:p w14:paraId="507614FC" w14:textId="71250D8F" w:rsidR="00A50783" w:rsidRDefault="00A50783" w:rsidP="00A50783">
            <w:pPr>
              <w:rPr>
                <w:rFonts w:ascii="Arial" w:hAnsi="Arial" w:cs="Arial"/>
              </w:rPr>
            </w:pPr>
            <w:r w:rsidRPr="005F344A">
              <w:t xml:space="preserve">(Option 3) We assume that </w:t>
            </w:r>
            <w:r>
              <w:t>9% of premix sales are currently not compliant with the minimum levels required by Regulation 1925/2006, and that this is an accurate proxy for the proportion of NWWF that is not being fortified to these levels.</w:t>
            </w:r>
          </w:p>
        </w:tc>
        <w:tc>
          <w:tcPr>
            <w:tcW w:w="4562" w:type="dxa"/>
          </w:tcPr>
          <w:p w14:paraId="5D0FECEC" w14:textId="6257A6BF" w:rsidR="00A50783" w:rsidRDefault="00A50783" w:rsidP="00A50783">
            <w:r>
              <w:t>There is sparse data on the exact fortification specifications used among UK millers. Data received from a premix supplier suggests 91% of premix sold is compliant with Reg 1925/2006.</w:t>
            </w:r>
          </w:p>
        </w:tc>
      </w:tr>
      <w:tr w:rsidR="00A50783" w14:paraId="7F3C4AD0" w14:textId="77777777" w:rsidTr="004A2E41">
        <w:tc>
          <w:tcPr>
            <w:tcW w:w="613" w:type="dxa"/>
          </w:tcPr>
          <w:p w14:paraId="4A980A11" w14:textId="1EE6E7B6" w:rsidR="00A50783" w:rsidRDefault="00A50783" w:rsidP="00A50783">
            <w:r>
              <w:t>A40</w:t>
            </w:r>
          </w:p>
        </w:tc>
        <w:tc>
          <w:tcPr>
            <w:tcW w:w="4561" w:type="dxa"/>
          </w:tcPr>
          <w:p w14:paraId="45C7126E" w14:textId="501C78C5" w:rsidR="00A50783" w:rsidRPr="005F344A" w:rsidRDefault="00A50783" w:rsidP="00A50783">
            <w:r>
              <w:rPr>
                <w:rFonts w:eastAsia="Arial" w:cs="Arial"/>
                <w:color w:val="000000" w:themeColor="text1"/>
              </w:rPr>
              <w:t>(Option 3) All</w:t>
            </w:r>
            <w:r w:rsidRPr="00175397">
              <w:rPr>
                <w:rFonts w:eastAsia="Arial" w:cs="Arial"/>
                <w:color w:val="000000" w:themeColor="text1"/>
              </w:rPr>
              <w:t xml:space="preserve"> millers are using E170 grade calcium carbonate to fortify their flour.</w:t>
            </w:r>
          </w:p>
        </w:tc>
        <w:tc>
          <w:tcPr>
            <w:tcW w:w="4562" w:type="dxa"/>
          </w:tcPr>
          <w:p w14:paraId="011AE127" w14:textId="5273E3B6" w:rsidR="00A50783" w:rsidRDefault="00A50783" w:rsidP="00A50783">
            <w:r w:rsidRPr="00175397">
              <w:rPr>
                <w:rFonts w:eastAsia="Arial" w:cs="Arial"/>
                <w:color w:val="000000" w:themeColor="text1"/>
              </w:rPr>
              <w:t>Since July 2021, UK</w:t>
            </w:r>
            <w:r>
              <w:rPr>
                <w:rFonts w:eastAsia="Arial" w:cs="Arial"/>
                <w:color w:val="000000" w:themeColor="text1"/>
              </w:rPr>
              <w:t>-</w:t>
            </w:r>
            <w:r w:rsidRPr="00175397">
              <w:rPr>
                <w:rFonts w:eastAsia="Arial" w:cs="Arial"/>
                <w:color w:val="000000" w:themeColor="text1"/>
              </w:rPr>
              <w:t xml:space="preserve">produced food grade calcium carbonate is no longer available in significant </w:t>
            </w:r>
            <w:r w:rsidRPr="00175397">
              <w:rPr>
                <w:rFonts w:ascii="Arial" w:eastAsia="Arial" w:hAnsi="Arial" w:cs="Arial"/>
                <w:color w:val="000000" w:themeColor="text1"/>
              </w:rPr>
              <w:t>amounts</w:t>
            </w:r>
            <w:r>
              <w:rPr>
                <w:rFonts w:ascii="Arial" w:eastAsia="Arial" w:hAnsi="Arial" w:cs="Arial"/>
                <w:color w:val="000000" w:themeColor="text1"/>
              </w:rPr>
              <w:t>.</w:t>
            </w:r>
          </w:p>
        </w:tc>
      </w:tr>
      <w:tr w:rsidR="00A50783" w14:paraId="7F39527C" w14:textId="77777777" w:rsidTr="004A2E41">
        <w:tc>
          <w:tcPr>
            <w:tcW w:w="613" w:type="dxa"/>
          </w:tcPr>
          <w:p w14:paraId="72B5B89D" w14:textId="11F9799A" w:rsidR="00A50783" w:rsidRDefault="00A50783" w:rsidP="00A50783">
            <w:r>
              <w:t>A41</w:t>
            </w:r>
          </w:p>
        </w:tc>
        <w:tc>
          <w:tcPr>
            <w:tcW w:w="4561" w:type="dxa"/>
          </w:tcPr>
          <w:p w14:paraId="407841D4" w14:textId="7CA88B9A" w:rsidR="00A50783" w:rsidRPr="005F344A" w:rsidRDefault="00A50783" w:rsidP="00A50783">
            <w:r>
              <w:t>(Option 5) Small-scale millers still need to familiarise themselves with the new regulations even if they are exempt.</w:t>
            </w:r>
          </w:p>
        </w:tc>
        <w:tc>
          <w:tcPr>
            <w:tcW w:w="4562" w:type="dxa"/>
          </w:tcPr>
          <w:p w14:paraId="60823BB4" w14:textId="2ECF7ECA" w:rsidR="00A50783" w:rsidRDefault="00A50783" w:rsidP="00A50783">
            <w:r>
              <w:t xml:space="preserve">Ease of calculations. </w:t>
            </w:r>
          </w:p>
        </w:tc>
      </w:tr>
      <w:tr w:rsidR="00A50783" w14:paraId="73E52470" w14:textId="77777777" w:rsidTr="004A2E41">
        <w:tc>
          <w:tcPr>
            <w:tcW w:w="613" w:type="dxa"/>
          </w:tcPr>
          <w:p w14:paraId="0646215D" w14:textId="0B3DD049" w:rsidR="00A50783" w:rsidRDefault="00A50783" w:rsidP="00A50783">
            <w:r>
              <w:t>A42</w:t>
            </w:r>
          </w:p>
        </w:tc>
        <w:tc>
          <w:tcPr>
            <w:tcW w:w="4561" w:type="dxa"/>
          </w:tcPr>
          <w:p w14:paraId="4B7AAA14" w14:textId="11305807" w:rsidR="00A50783" w:rsidRPr="005F344A" w:rsidRDefault="00A50783" w:rsidP="00A50783">
            <w:r>
              <w:t>(Option 5) ‘Small-scale millers’ are taken to mean micro-sized milling businesses with between zero and nine employees.</w:t>
            </w:r>
          </w:p>
        </w:tc>
        <w:tc>
          <w:tcPr>
            <w:tcW w:w="4562" w:type="dxa"/>
          </w:tcPr>
          <w:p w14:paraId="3BDBA210" w14:textId="375AD9DD" w:rsidR="00A50783" w:rsidRDefault="00A50783" w:rsidP="00A50783">
            <w:r>
              <w:t>There is insufficient data on individual millers’ production volumes to isolate millers below a certain cut-off.</w:t>
            </w:r>
          </w:p>
        </w:tc>
      </w:tr>
      <w:tr w:rsidR="00A50783" w14:paraId="6809FBA1" w14:textId="77777777" w:rsidTr="004A2E41">
        <w:tc>
          <w:tcPr>
            <w:tcW w:w="613" w:type="dxa"/>
          </w:tcPr>
          <w:p w14:paraId="7387B8CE" w14:textId="27E9CED3" w:rsidR="00A50783" w:rsidRDefault="00A50783" w:rsidP="00A50783">
            <w:r>
              <w:t>A43</w:t>
            </w:r>
          </w:p>
        </w:tc>
        <w:tc>
          <w:tcPr>
            <w:tcW w:w="4561" w:type="dxa"/>
          </w:tcPr>
          <w:p w14:paraId="38C9A67B" w14:textId="41EFF245" w:rsidR="00A50783" w:rsidRDefault="00A50783" w:rsidP="00A50783">
            <w:r>
              <w:t>(Option 5) The proportion of UK micro-sized millers in Scotland is a good approximation of the volume of UK NWWF produced in Scotland.</w:t>
            </w:r>
          </w:p>
        </w:tc>
        <w:tc>
          <w:tcPr>
            <w:tcW w:w="4562" w:type="dxa"/>
          </w:tcPr>
          <w:p w14:paraId="2B04890A" w14:textId="4181DC2D" w:rsidR="00A50783" w:rsidRDefault="00A50783" w:rsidP="00A50783">
            <w:r>
              <w:t>There is insufficient data on individual millers’ production volumes. We do have access to TCMG’s data on NWWF produced by (member) small-scale millers in the UK.</w:t>
            </w:r>
          </w:p>
        </w:tc>
      </w:tr>
      <w:tr w:rsidR="00A50783" w14:paraId="773E243A" w14:textId="77777777" w:rsidTr="004A2E41">
        <w:tc>
          <w:tcPr>
            <w:tcW w:w="613" w:type="dxa"/>
          </w:tcPr>
          <w:p w14:paraId="6857AFE7" w14:textId="1AE3DDD1" w:rsidR="00A50783" w:rsidRDefault="00A50783" w:rsidP="00A50783">
            <w:r>
              <w:t>A44</w:t>
            </w:r>
          </w:p>
        </w:tc>
        <w:tc>
          <w:tcPr>
            <w:tcW w:w="4561" w:type="dxa"/>
          </w:tcPr>
          <w:p w14:paraId="070410E8" w14:textId="4A23B5F1" w:rsidR="00A50783" w:rsidRDefault="00A50783" w:rsidP="00A50783">
            <w:r>
              <w:t>(Option 5) Each small-scale miller produces one SKU, and 30% of all SKUs produced by small-scale millers are NWWF.</w:t>
            </w:r>
          </w:p>
        </w:tc>
        <w:tc>
          <w:tcPr>
            <w:tcW w:w="4562" w:type="dxa"/>
          </w:tcPr>
          <w:p w14:paraId="42093B8B" w14:textId="2F722DBC" w:rsidR="00A50783" w:rsidRDefault="00A50783" w:rsidP="00A50783">
            <w:r>
              <w:t xml:space="preserve">We do not know the true number of SKUs produced by each small-scale miller. TCMG estimates that 30% of all flour miller by small-scale millers is NWWF, and so we assume this translates to SKUs as well. </w:t>
            </w:r>
          </w:p>
        </w:tc>
      </w:tr>
    </w:tbl>
    <w:p w14:paraId="4525C183" w14:textId="77777777" w:rsidR="00EC784A" w:rsidRDefault="00EC784A" w:rsidP="00EC784A"/>
    <w:p w14:paraId="77DB1FD2" w14:textId="77777777" w:rsidR="005156C3" w:rsidRDefault="65B9E175" w:rsidP="00DA0433">
      <w:pPr>
        <w:pStyle w:val="Heading2"/>
      </w:pPr>
      <w:r>
        <w:t>Option 2 (folic acid fortification only)</w:t>
      </w:r>
    </w:p>
    <w:p w14:paraId="279F0A36" w14:textId="080CE30F" w:rsidR="00B66B5D" w:rsidRDefault="71D08BB7" w:rsidP="00B126F4">
      <w:pPr>
        <w:pStyle w:val="Heading3"/>
      </w:pPr>
      <w:r>
        <w:t>Business f</w:t>
      </w:r>
      <w:r w:rsidR="7EEA5CD6">
        <w:t>amiliarisation costs</w:t>
      </w:r>
    </w:p>
    <w:p w14:paraId="13D79AE7" w14:textId="3920E303" w:rsidR="00B91D38" w:rsidRDefault="00B91D38" w:rsidP="00B66B5D">
      <w:r>
        <w:t>Millers and other manufacturers of flour will need to familiarise themselves with the new regulations and folic acid fortification levels</w:t>
      </w:r>
      <w:r w:rsidRPr="00C81200">
        <w:t>.</w:t>
      </w:r>
      <w:r w:rsidR="00CF17DF" w:rsidRPr="00C81200">
        <w:t xml:space="preserve"> We assume </w:t>
      </w:r>
      <w:r w:rsidR="00520EF6" w:rsidRPr="00C81200">
        <w:t>(A2</w:t>
      </w:r>
      <w:r w:rsidR="00C81200" w:rsidRPr="00C81200">
        <w:t>3</w:t>
      </w:r>
      <w:r w:rsidR="00520EF6" w:rsidRPr="00C81200">
        <w:t xml:space="preserve">) </w:t>
      </w:r>
      <w:r w:rsidR="00CF17DF" w:rsidRPr="00C81200">
        <w:t>that this</w:t>
      </w:r>
      <w:r w:rsidR="00CF17DF">
        <w:t xml:space="preserve"> cost can be estimated by multiplying the length of the legislation (in words) by an assumed reading speed (words per minute) and the wage</w:t>
      </w:r>
      <w:r w:rsidR="00582D3E">
        <w:t xml:space="preserve"> costs (£ per hour).</w:t>
      </w:r>
    </w:p>
    <w:p w14:paraId="6EB32835" w14:textId="77777777" w:rsidR="00582D3E" w:rsidRDefault="00582D3E" w:rsidP="00B66B5D"/>
    <w:p w14:paraId="13224926" w14:textId="65C06D22" w:rsidR="00EA17CC" w:rsidRPr="003935A0" w:rsidRDefault="00582D3E" w:rsidP="00A70924">
      <w:r w:rsidRPr="003935A0">
        <w:t>A report by EFTEC (2013</w:t>
      </w:r>
      <w:r w:rsidRPr="003935A0">
        <w:rPr>
          <w:rFonts w:cstheme="minorHAnsi"/>
        </w:rPr>
        <w:t>)</w:t>
      </w:r>
      <w:r w:rsidR="008D629B" w:rsidRPr="003935A0">
        <w:rPr>
          <w:rStyle w:val="FootnoteReference"/>
          <w:rFonts w:asciiTheme="minorHAnsi" w:hAnsiTheme="minorHAnsi" w:cstheme="minorHAnsi"/>
          <w:sz w:val="24"/>
        </w:rPr>
        <w:footnoteReference w:id="19"/>
      </w:r>
      <w:r w:rsidRPr="003935A0">
        <w:rPr>
          <w:rFonts w:cstheme="minorHAnsi"/>
        </w:rPr>
        <w:t xml:space="preserve"> found</w:t>
      </w:r>
      <w:r w:rsidRPr="003935A0">
        <w:t xml:space="preserve"> that typical reading speeds for ‘normal’ prose are 250-300 words per minute, and 50-100 words per minute for ‘technical’ prose.</w:t>
      </w:r>
      <w:r w:rsidR="00DC44A8" w:rsidRPr="003935A0">
        <w:t xml:space="preserve"> The revised regulations and guidance will predominantly consist of technical text. Assuming they are a similar length to the existing Bread and Flour Regulations (1988)</w:t>
      </w:r>
      <w:r w:rsidR="00783252" w:rsidRPr="003935A0">
        <w:t xml:space="preserve"> </w:t>
      </w:r>
      <w:r w:rsidR="0025645F" w:rsidRPr="003935A0">
        <w:t xml:space="preserve">and guidance </w:t>
      </w:r>
      <w:r w:rsidR="00783252" w:rsidRPr="003935A0">
        <w:t xml:space="preserve">(a total of 5,547 words) </w:t>
      </w:r>
      <w:r w:rsidR="00F158EF" w:rsidRPr="003935A0">
        <w:t xml:space="preserve">(A24) </w:t>
      </w:r>
      <w:r w:rsidR="00783252" w:rsidRPr="003935A0">
        <w:t>we assume it would take between 5</w:t>
      </w:r>
      <w:r w:rsidR="00C24051" w:rsidRPr="003935A0">
        <w:t>5</w:t>
      </w:r>
      <w:r w:rsidR="007066A2" w:rsidRPr="003935A0">
        <w:t>-</w:t>
      </w:r>
      <w:r w:rsidR="00783252" w:rsidRPr="003935A0">
        <w:t xml:space="preserve">110 minutes for an </w:t>
      </w:r>
      <w:r w:rsidR="00290666" w:rsidRPr="003935A0">
        <w:t>employee (‘R&amp;D Manager’ in ASHE)</w:t>
      </w:r>
      <w:r w:rsidR="00783252" w:rsidRPr="003935A0">
        <w:t xml:space="preserve"> to become familiar with and understand the updated legislation</w:t>
      </w:r>
      <w:r w:rsidR="00532684" w:rsidRPr="003935A0">
        <w:t xml:space="preserve"> (A25).</w:t>
      </w:r>
    </w:p>
    <w:p w14:paraId="4CE2125D" w14:textId="77777777" w:rsidR="007066A2" w:rsidRPr="003935A0" w:rsidRDefault="007066A2" w:rsidP="00A70924"/>
    <w:p w14:paraId="1CD84966" w14:textId="691D0A25" w:rsidR="001C3E2B" w:rsidRPr="003935A0" w:rsidRDefault="007066A2" w:rsidP="00A70924">
      <w:r w:rsidRPr="003935A0">
        <w:t xml:space="preserve">We then assume that this employee also explains the legislation </w:t>
      </w:r>
      <w:r w:rsidR="005A4A0D" w:rsidRPr="003935A0">
        <w:t xml:space="preserve">to two managers or directors </w:t>
      </w:r>
      <w:r w:rsidR="00290666" w:rsidRPr="003935A0">
        <w:t xml:space="preserve">(‘Corporate Manager and Director’ in ASHE) </w:t>
      </w:r>
      <w:r w:rsidR="005A4A0D" w:rsidRPr="003935A0">
        <w:t xml:space="preserve">involved in the manufacturing process. </w:t>
      </w:r>
      <w:r w:rsidR="001C3E2B" w:rsidRPr="003935A0">
        <w:t>The length of time is assumed to be the same as the reading time</w:t>
      </w:r>
      <w:r w:rsidR="00AB68C4" w:rsidRPr="003935A0">
        <w:t xml:space="preserve"> (A26)</w:t>
      </w:r>
      <w:r w:rsidR="00A55A3F">
        <w:t>.</w:t>
      </w:r>
    </w:p>
    <w:p w14:paraId="67FF5DD7" w14:textId="77777777" w:rsidR="001C3E2B" w:rsidRPr="003935A0" w:rsidRDefault="001C3E2B" w:rsidP="00A70924"/>
    <w:p w14:paraId="238DCF9F" w14:textId="5197356B" w:rsidR="007066A2" w:rsidRDefault="005A4A0D" w:rsidP="00A70924">
      <w:r w:rsidRPr="003935A0">
        <w:t xml:space="preserve">The number of employees involved is an arbitrary assumption and </w:t>
      </w:r>
      <w:r w:rsidR="00050C99">
        <w:t>in reality may</w:t>
      </w:r>
      <w:r w:rsidRPr="003935A0">
        <w:t xml:space="preserve"> vary depending on the size of the miller</w:t>
      </w:r>
      <w:r w:rsidR="00C05AA3" w:rsidRPr="003935A0">
        <w:t>.</w:t>
      </w:r>
      <w:r w:rsidRPr="003935A0">
        <w:t xml:space="preserve"> </w:t>
      </w:r>
      <w:r w:rsidR="00FB0914">
        <w:t>Due to the lack of data on the proportion of R&amp;D Managers and Corporate Managers to total employees, we assume this remains constant even if the size of the miller varies</w:t>
      </w:r>
      <w:r w:rsidR="00A928C6">
        <w:t xml:space="preserve"> (A2</w:t>
      </w:r>
      <w:r w:rsidR="00950CA1">
        <w:t>7</w:t>
      </w:r>
      <w:r w:rsidR="00A928C6">
        <w:t>)</w:t>
      </w:r>
      <w:r w:rsidR="00FB0914">
        <w:t xml:space="preserve">. </w:t>
      </w:r>
      <w:r w:rsidR="008F7B5D" w:rsidRPr="003935A0">
        <w:t>The range of salaries we assume may be able to account for some of this uncertainty (e.g. explaining it to 3 managers rather than 2</w:t>
      </w:r>
      <w:r w:rsidR="00382C0A" w:rsidRPr="003935A0">
        <w:t>, or taking longer to explain the legislation</w:t>
      </w:r>
      <w:r w:rsidR="008F7B5D" w:rsidRPr="003935A0">
        <w:t>).</w:t>
      </w:r>
    </w:p>
    <w:p w14:paraId="54836122" w14:textId="77777777" w:rsidR="00644756" w:rsidRDefault="00644756" w:rsidP="00A70924"/>
    <w:p w14:paraId="0FEFA4D8" w14:textId="06F8ED0C" w:rsidR="00D978E8" w:rsidRPr="00AF74F9" w:rsidRDefault="00D978E8" w:rsidP="00D978E8">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23</w:t>
      </w:r>
      <w:r w:rsidR="00000F90" w:rsidRPr="00AF74F9">
        <w:rPr>
          <w:noProof/>
          <w:color w:val="auto"/>
        </w:rPr>
        <w:fldChar w:fldCharType="end"/>
      </w:r>
      <w:r w:rsidRPr="00AF74F9">
        <w:rPr>
          <w:color w:val="auto"/>
        </w:rPr>
        <w:t>. Assumed reading, explanation, and listening time needed for familiarisation</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449"/>
        <w:gridCol w:w="1070"/>
        <w:gridCol w:w="1670"/>
        <w:gridCol w:w="1216"/>
        <w:gridCol w:w="1481"/>
        <w:gridCol w:w="1431"/>
        <w:gridCol w:w="1429"/>
      </w:tblGrid>
      <w:tr w:rsidR="00F66B01" w14:paraId="610803C7" w14:textId="502C961A" w:rsidTr="00D978E8">
        <w:trPr>
          <w:trHeight w:val="362"/>
        </w:trPr>
        <w:tc>
          <w:tcPr>
            <w:tcW w:w="743" w:type="pct"/>
            <w:vMerge w:val="restart"/>
            <w:tcBorders>
              <w:top w:val="single" w:sz="4" w:space="0" w:color="auto"/>
            </w:tcBorders>
          </w:tcPr>
          <w:p w14:paraId="3831057C" w14:textId="77777777" w:rsidR="00F66B01" w:rsidRPr="006B620C" w:rsidRDefault="00F66B01" w:rsidP="00100744">
            <w:pPr>
              <w:rPr>
                <w:b/>
                <w:bCs/>
              </w:rPr>
            </w:pPr>
          </w:p>
        </w:tc>
        <w:tc>
          <w:tcPr>
            <w:tcW w:w="549" w:type="pct"/>
            <w:vMerge w:val="restart"/>
            <w:tcBorders>
              <w:top w:val="single" w:sz="4" w:space="0" w:color="auto"/>
            </w:tcBorders>
          </w:tcPr>
          <w:p w14:paraId="4169583B" w14:textId="3BC6C9F5" w:rsidR="00F66B01" w:rsidRDefault="00F66B01" w:rsidP="00C23D2A">
            <w:pPr>
              <w:rPr>
                <w:b/>
                <w:bCs/>
              </w:rPr>
            </w:pPr>
            <w:r>
              <w:rPr>
                <w:b/>
                <w:bCs/>
              </w:rPr>
              <w:t>Reading speed</w:t>
            </w:r>
          </w:p>
        </w:tc>
        <w:tc>
          <w:tcPr>
            <w:tcW w:w="857" w:type="pct"/>
            <w:vMerge w:val="restart"/>
            <w:tcBorders>
              <w:top w:val="single" w:sz="4" w:space="0" w:color="auto"/>
              <w:right w:val="single" w:sz="4" w:space="0" w:color="auto"/>
            </w:tcBorders>
          </w:tcPr>
          <w:p w14:paraId="78FEA910" w14:textId="46AC5B64" w:rsidR="00F66B01" w:rsidRDefault="00F66B01" w:rsidP="00C23D2A">
            <w:pPr>
              <w:rPr>
                <w:b/>
                <w:bCs/>
              </w:rPr>
            </w:pPr>
            <w:r>
              <w:rPr>
                <w:b/>
                <w:bCs/>
              </w:rPr>
              <w:t>Legislation + guidance length</w:t>
            </w:r>
          </w:p>
        </w:tc>
        <w:tc>
          <w:tcPr>
            <w:tcW w:w="1384" w:type="pct"/>
            <w:gridSpan w:val="2"/>
            <w:tcBorders>
              <w:top w:val="single" w:sz="4" w:space="0" w:color="auto"/>
              <w:left w:val="single" w:sz="4" w:space="0" w:color="auto"/>
              <w:bottom w:val="single" w:sz="4" w:space="0" w:color="auto"/>
              <w:right w:val="single" w:sz="4" w:space="0" w:color="auto"/>
            </w:tcBorders>
          </w:tcPr>
          <w:p w14:paraId="4BAC44E8" w14:textId="312A7834" w:rsidR="00F66B01" w:rsidRPr="00074ADD" w:rsidRDefault="00F66B01" w:rsidP="00C23D2A">
            <w:pPr>
              <w:rPr>
                <w:b/>
                <w:bCs/>
              </w:rPr>
            </w:pPr>
            <w:r w:rsidRPr="00074ADD">
              <w:rPr>
                <w:b/>
                <w:bCs/>
              </w:rPr>
              <w:t>R&amp;D Manager</w:t>
            </w:r>
          </w:p>
        </w:tc>
        <w:tc>
          <w:tcPr>
            <w:tcW w:w="1466" w:type="pct"/>
            <w:gridSpan w:val="2"/>
            <w:tcBorders>
              <w:top w:val="single" w:sz="4" w:space="0" w:color="auto"/>
              <w:left w:val="single" w:sz="4" w:space="0" w:color="auto"/>
              <w:right w:val="nil"/>
            </w:tcBorders>
          </w:tcPr>
          <w:p w14:paraId="435974CB" w14:textId="02286B17" w:rsidR="00F66B01" w:rsidRPr="00C23D2A" w:rsidRDefault="00F66B01" w:rsidP="00C23D2A">
            <w:pPr>
              <w:rPr>
                <w:b/>
                <w:bCs/>
              </w:rPr>
            </w:pPr>
            <w:r w:rsidRPr="00C23D2A">
              <w:rPr>
                <w:b/>
                <w:bCs/>
              </w:rPr>
              <w:t>Listening time</w:t>
            </w:r>
          </w:p>
        </w:tc>
      </w:tr>
      <w:tr w:rsidR="00F66B01" w14:paraId="2F3EC1EB" w14:textId="4DD8980E" w:rsidTr="00D978E8">
        <w:trPr>
          <w:trHeight w:val="20"/>
        </w:trPr>
        <w:tc>
          <w:tcPr>
            <w:tcW w:w="743" w:type="pct"/>
            <w:vMerge/>
          </w:tcPr>
          <w:p w14:paraId="5547F273" w14:textId="77777777" w:rsidR="00F66B01" w:rsidRPr="00F454B6" w:rsidRDefault="00F66B01" w:rsidP="00100744">
            <w:pPr>
              <w:rPr>
                <w:sz w:val="20"/>
                <w:szCs w:val="20"/>
              </w:rPr>
            </w:pPr>
          </w:p>
        </w:tc>
        <w:tc>
          <w:tcPr>
            <w:tcW w:w="549" w:type="pct"/>
            <w:vMerge/>
          </w:tcPr>
          <w:p w14:paraId="442CFFD7" w14:textId="77777777" w:rsidR="00F66B01" w:rsidRPr="00F454B6" w:rsidRDefault="00F66B01" w:rsidP="00C23D2A">
            <w:pPr>
              <w:rPr>
                <w:sz w:val="20"/>
                <w:szCs w:val="20"/>
              </w:rPr>
            </w:pPr>
          </w:p>
        </w:tc>
        <w:tc>
          <w:tcPr>
            <w:tcW w:w="857" w:type="pct"/>
            <w:vMerge/>
            <w:tcBorders>
              <w:right w:val="single" w:sz="4" w:space="0" w:color="auto"/>
            </w:tcBorders>
          </w:tcPr>
          <w:p w14:paraId="0D5FC1B0" w14:textId="77777777" w:rsidR="00F66B01" w:rsidRPr="00F454B6" w:rsidRDefault="00F66B01" w:rsidP="00C23D2A">
            <w:pPr>
              <w:rPr>
                <w:sz w:val="20"/>
                <w:szCs w:val="20"/>
              </w:rPr>
            </w:pPr>
          </w:p>
        </w:tc>
        <w:tc>
          <w:tcPr>
            <w:tcW w:w="624" w:type="pct"/>
            <w:tcBorders>
              <w:top w:val="single" w:sz="4" w:space="0" w:color="auto"/>
              <w:left w:val="single" w:sz="4" w:space="0" w:color="auto"/>
              <w:right w:val="single" w:sz="4" w:space="0" w:color="auto"/>
            </w:tcBorders>
          </w:tcPr>
          <w:p w14:paraId="2D96239A" w14:textId="3AAF47B7" w:rsidR="00F66B01" w:rsidRPr="00074ADD" w:rsidRDefault="00F66B01" w:rsidP="00C23D2A">
            <w:r w:rsidRPr="00074ADD">
              <w:t>Reading time</w:t>
            </w:r>
          </w:p>
        </w:tc>
        <w:tc>
          <w:tcPr>
            <w:tcW w:w="760" w:type="pct"/>
            <w:tcBorders>
              <w:top w:val="single" w:sz="4" w:space="0" w:color="auto"/>
              <w:left w:val="single" w:sz="4" w:space="0" w:color="auto"/>
              <w:right w:val="single" w:sz="4" w:space="0" w:color="auto"/>
            </w:tcBorders>
          </w:tcPr>
          <w:p w14:paraId="73E09A4B" w14:textId="0457AE15" w:rsidR="00F66B01" w:rsidRPr="00F454B6" w:rsidRDefault="00F66B01" w:rsidP="00C23D2A">
            <w:r>
              <w:t>Explaining time (per Corporate Manager)</w:t>
            </w:r>
          </w:p>
        </w:tc>
        <w:tc>
          <w:tcPr>
            <w:tcW w:w="734" w:type="pct"/>
            <w:tcBorders>
              <w:top w:val="single" w:sz="4" w:space="0" w:color="auto"/>
              <w:left w:val="single" w:sz="4" w:space="0" w:color="auto"/>
            </w:tcBorders>
          </w:tcPr>
          <w:p w14:paraId="0A8C16CD" w14:textId="70F5934B" w:rsidR="00F66B01" w:rsidRPr="00F454B6" w:rsidRDefault="00F66B01" w:rsidP="00C23D2A">
            <w:r>
              <w:t>Corporate Manager</w:t>
            </w:r>
            <w:r w:rsidRPr="00F454B6">
              <w:t xml:space="preserve"> 1</w:t>
            </w:r>
          </w:p>
        </w:tc>
        <w:tc>
          <w:tcPr>
            <w:tcW w:w="733" w:type="pct"/>
            <w:tcBorders>
              <w:top w:val="single" w:sz="4" w:space="0" w:color="auto"/>
              <w:bottom w:val="single" w:sz="4" w:space="0" w:color="auto"/>
              <w:right w:val="nil"/>
            </w:tcBorders>
          </w:tcPr>
          <w:p w14:paraId="3B536B26" w14:textId="60CFD91E" w:rsidR="00F66B01" w:rsidRPr="00F454B6" w:rsidRDefault="00F66B01" w:rsidP="00C23D2A">
            <w:r>
              <w:t>Corporate Manager</w:t>
            </w:r>
            <w:r w:rsidRPr="00F454B6">
              <w:t xml:space="preserve"> </w:t>
            </w:r>
            <w:r>
              <w:t>2</w:t>
            </w:r>
          </w:p>
        </w:tc>
      </w:tr>
      <w:tr w:rsidR="00F66B01" w14:paraId="2BF61F1A" w14:textId="38A71D08" w:rsidTr="00D978E8">
        <w:trPr>
          <w:trHeight w:val="123"/>
        </w:trPr>
        <w:tc>
          <w:tcPr>
            <w:tcW w:w="743" w:type="pct"/>
            <w:vMerge/>
            <w:tcBorders>
              <w:top w:val="single" w:sz="4" w:space="0" w:color="auto"/>
              <w:bottom w:val="nil"/>
            </w:tcBorders>
          </w:tcPr>
          <w:p w14:paraId="28B5C5EE" w14:textId="77777777" w:rsidR="00F66B01" w:rsidRPr="00F454B6" w:rsidRDefault="00F66B01" w:rsidP="00100744">
            <w:pPr>
              <w:rPr>
                <w:sz w:val="20"/>
                <w:szCs w:val="20"/>
              </w:rPr>
            </w:pPr>
          </w:p>
        </w:tc>
        <w:tc>
          <w:tcPr>
            <w:tcW w:w="549" w:type="pct"/>
            <w:tcBorders>
              <w:top w:val="single" w:sz="4" w:space="0" w:color="auto"/>
            </w:tcBorders>
          </w:tcPr>
          <w:p w14:paraId="6076FF7F" w14:textId="7E5A2909" w:rsidR="00F66B01" w:rsidRPr="00F454B6" w:rsidRDefault="00F66B01" w:rsidP="00100744">
            <w:pPr>
              <w:rPr>
                <w:sz w:val="20"/>
                <w:szCs w:val="20"/>
              </w:rPr>
            </w:pPr>
            <w:r w:rsidRPr="00F454B6">
              <w:rPr>
                <w:sz w:val="20"/>
                <w:szCs w:val="20"/>
              </w:rPr>
              <w:t>Words/min</w:t>
            </w:r>
          </w:p>
        </w:tc>
        <w:tc>
          <w:tcPr>
            <w:tcW w:w="857" w:type="pct"/>
            <w:tcBorders>
              <w:top w:val="single" w:sz="4" w:space="0" w:color="auto"/>
              <w:right w:val="single" w:sz="4" w:space="0" w:color="auto"/>
            </w:tcBorders>
          </w:tcPr>
          <w:p w14:paraId="50348247" w14:textId="33C79EC4" w:rsidR="00F66B01" w:rsidRPr="00F454B6" w:rsidRDefault="00F66B01" w:rsidP="00100744">
            <w:pPr>
              <w:rPr>
                <w:sz w:val="20"/>
                <w:szCs w:val="20"/>
              </w:rPr>
            </w:pPr>
            <w:r w:rsidRPr="00F454B6">
              <w:rPr>
                <w:sz w:val="20"/>
                <w:szCs w:val="20"/>
              </w:rPr>
              <w:t>Words</w:t>
            </w:r>
          </w:p>
        </w:tc>
        <w:tc>
          <w:tcPr>
            <w:tcW w:w="624" w:type="pct"/>
            <w:tcBorders>
              <w:top w:val="single" w:sz="4" w:space="0" w:color="auto"/>
              <w:left w:val="single" w:sz="4" w:space="0" w:color="auto"/>
              <w:right w:val="single" w:sz="4" w:space="0" w:color="auto"/>
            </w:tcBorders>
          </w:tcPr>
          <w:p w14:paraId="0976C127" w14:textId="0432E073" w:rsidR="00F66B01" w:rsidRPr="00F454B6" w:rsidRDefault="00F66B01" w:rsidP="00100744">
            <w:pPr>
              <w:rPr>
                <w:sz w:val="20"/>
                <w:szCs w:val="20"/>
              </w:rPr>
            </w:pPr>
            <w:r w:rsidRPr="00F454B6">
              <w:rPr>
                <w:sz w:val="20"/>
                <w:szCs w:val="20"/>
              </w:rPr>
              <w:t>Hours</w:t>
            </w:r>
          </w:p>
        </w:tc>
        <w:tc>
          <w:tcPr>
            <w:tcW w:w="760" w:type="pct"/>
            <w:tcBorders>
              <w:top w:val="single" w:sz="4" w:space="0" w:color="auto"/>
              <w:left w:val="single" w:sz="4" w:space="0" w:color="auto"/>
              <w:right w:val="single" w:sz="4" w:space="0" w:color="auto"/>
            </w:tcBorders>
          </w:tcPr>
          <w:p w14:paraId="2BDCA31A" w14:textId="150720B9" w:rsidR="00F66B01" w:rsidRPr="00F454B6" w:rsidRDefault="00F66B01" w:rsidP="00100744">
            <w:pPr>
              <w:rPr>
                <w:sz w:val="20"/>
                <w:szCs w:val="20"/>
              </w:rPr>
            </w:pPr>
            <w:r w:rsidRPr="00F454B6">
              <w:rPr>
                <w:sz w:val="20"/>
                <w:szCs w:val="20"/>
              </w:rPr>
              <w:t>Hours</w:t>
            </w:r>
          </w:p>
        </w:tc>
        <w:tc>
          <w:tcPr>
            <w:tcW w:w="734" w:type="pct"/>
            <w:tcBorders>
              <w:top w:val="single" w:sz="4" w:space="0" w:color="auto"/>
              <w:left w:val="single" w:sz="4" w:space="0" w:color="auto"/>
            </w:tcBorders>
          </w:tcPr>
          <w:p w14:paraId="4A69DD2F" w14:textId="15907662" w:rsidR="00F66B01" w:rsidRPr="00F454B6" w:rsidRDefault="00F66B01" w:rsidP="00100744">
            <w:pPr>
              <w:rPr>
                <w:sz w:val="20"/>
                <w:szCs w:val="20"/>
              </w:rPr>
            </w:pPr>
            <w:r>
              <w:rPr>
                <w:sz w:val="20"/>
                <w:szCs w:val="20"/>
              </w:rPr>
              <w:t>Hours</w:t>
            </w:r>
          </w:p>
        </w:tc>
        <w:tc>
          <w:tcPr>
            <w:tcW w:w="733" w:type="pct"/>
            <w:tcBorders>
              <w:top w:val="single" w:sz="4" w:space="0" w:color="auto"/>
              <w:right w:val="nil"/>
            </w:tcBorders>
          </w:tcPr>
          <w:p w14:paraId="5A572B84" w14:textId="758559E3" w:rsidR="00F66B01" w:rsidRPr="00F454B6" w:rsidRDefault="00F66B01" w:rsidP="00100744">
            <w:pPr>
              <w:rPr>
                <w:sz w:val="20"/>
                <w:szCs w:val="20"/>
              </w:rPr>
            </w:pPr>
            <w:r>
              <w:rPr>
                <w:sz w:val="20"/>
                <w:szCs w:val="20"/>
              </w:rPr>
              <w:t>Hours</w:t>
            </w:r>
          </w:p>
        </w:tc>
      </w:tr>
      <w:tr w:rsidR="00F66B01" w14:paraId="5D26436D" w14:textId="6F4D50A9" w:rsidTr="00D978E8">
        <w:tc>
          <w:tcPr>
            <w:tcW w:w="743" w:type="pct"/>
            <w:tcBorders>
              <w:top w:val="single" w:sz="4" w:space="0" w:color="auto"/>
            </w:tcBorders>
          </w:tcPr>
          <w:p w14:paraId="2862B9E0" w14:textId="322C64C5" w:rsidR="00F66B01" w:rsidRDefault="00F66B01" w:rsidP="00074ADD">
            <w:r>
              <w:t>Low</w:t>
            </w:r>
          </w:p>
        </w:tc>
        <w:tc>
          <w:tcPr>
            <w:tcW w:w="549" w:type="pct"/>
            <w:tcBorders>
              <w:top w:val="single" w:sz="4" w:space="0" w:color="auto"/>
            </w:tcBorders>
          </w:tcPr>
          <w:p w14:paraId="5006E2BE" w14:textId="40530F06" w:rsidR="00F66B01" w:rsidRDefault="00F66B01" w:rsidP="00074ADD">
            <w:r>
              <w:t>100</w:t>
            </w:r>
          </w:p>
        </w:tc>
        <w:tc>
          <w:tcPr>
            <w:tcW w:w="857" w:type="pct"/>
            <w:tcBorders>
              <w:top w:val="single" w:sz="4" w:space="0" w:color="auto"/>
              <w:right w:val="single" w:sz="4" w:space="0" w:color="auto"/>
            </w:tcBorders>
          </w:tcPr>
          <w:p w14:paraId="448DD19F" w14:textId="62A6C4FE" w:rsidR="00F66B01" w:rsidRDefault="00F66B01" w:rsidP="00074ADD">
            <w:r>
              <w:t>5,547</w:t>
            </w:r>
          </w:p>
        </w:tc>
        <w:tc>
          <w:tcPr>
            <w:tcW w:w="624" w:type="pct"/>
            <w:tcBorders>
              <w:top w:val="single" w:sz="4" w:space="0" w:color="auto"/>
              <w:left w:val="single" w:sz="4" w:space="0" w:color="auto"/>
              <w:right w:val="single" w:sz="4" w:space="0" w:color="auto"/>
            </w:tcBorders>
          </w:tcPr>
          <w:p w14:paraId="5212E60E" w14:textId="0FB8DB56" w:rsidR="00F66B01" w:rsidRDefault="00F66B01" w:rsidP="00074ADD">
            <w:r>
              <w:t>0.9</w:t>
            </w:r>
          </w:p>
        </w:tc>
        <w:tc>
          <w:tcPr>
            <w:tcW w:w="760" w:type="pct"/>
            <w:tcBorders>
              <w:top w:val="single" w:sz="4" w:space="0" w:color="auto"/>
              <w:left w:val="single" w:sz="4" w:space="0" w:color="auto"/>
              <w:right w:val="single" w:sz="4" w:space="0" w:color="auto"/>
            </w:tcBorders>
          </w:tcPr>
          <w:p w14:paraId="6E819EA3" w14:textId="1427F1A3" w:rsidR="00F66B01" w:rsidRDefault="00F66B01" w:rsidP="00074ADD">
            <w:r>
              <w:t>0.9</w:t>
            </w:r>
          </w:p>
        </w:tc>
        <w:tc>
          <w:tcPr>
            <w:tcW w:w="734" w:type="pct"/>
            <w:tcBorders>
              <w:top w:val="single" w:sz="4" w:space="0" w:color="auto"/>
              <w:left w:val="single" w:sz="4" w:space="0" w:color="auto"/>
            </w:tcBorders>
          </w:tcPr>
          <w:p w14:paraId="7DAFD25D" w14:textId="157C9019" w:rsidR="00F66B01" w:rsidRDefault="00F66B01" w:rsidP="00074ADD">
            <w:r>
              <w:t>0.9</w:t>
            </w:r>
          </w:p>
        </w:tc>
        <w:tc>
          <w:tcPr>
            <w:tcW w:w="733" w:type="pct"/>
            <w:tcBorders>
              <w:top w:val="single" w:sz="4" w:space="0" w:color="auto"/>
              <w:right w:val="nil"/>
            </w:tcBorders>
          </w:tcPr>
          <w:p w14:paraId="33238EEC" w14:textId="312CA479" w:rsidR="00F66B01" w:rsidRDefault="00F66B01" w:rsidP="00074ADD">
            <w:r>
              <w:t>0.9</w:t>
            </w:r>
          </w:p>
        </w:tc>
      </w:tr>
      <w:tr w:rsidR="00F66B01" w14:paraId="4A74C1F2" w14:textId="3489A707" w:rsidTr="00D978E8">
        <w:tc>
          <w:tcPr>
            <w:tcW w:w="743" w:type="pct"/>
          </w:tcPr>
          <w:p w14:paraId="1FF5A05D" w14:textId="77777777" w:rsidR="00F66B01" w:rsidRDefault="00F66B01" w:rsidP="00074ADD">
            <w:r>
              <w:t>Central</w:t>
            </w:r>
          </w:p>
        </w:tc>
        <w:tc>
          <w:tcPr>
            <w:tcW w:w="549" w:type="pct"/>
          </w:tcPr>
          <w:p w14:paraId="23739B6C" w14:textId="7658B376" w:rsidR="00F66B01" w:rsidRDefault="00F66B01" w:rsidP="00074ADD">
            <w:r>
              <w:t>75</w:t>
            </w:r>
          </w:p>
        </w:tc>
        <w:tc>
          <w:tcPr>
            <w:tcW w:w="857" w:type="pct"/>
            <w:tcBorders>
              <w:right w:val="single" w:sz="4" w:space="0" w:color="auto"/>
            </w:tcBorders>
          </w:tcPr>
          <w:p w14:paraId="5981A73E" w14:textId="1D3E702C" w:rsidR="00F66B01" w:rsidRDefault="00F66B01" w:rsidP="00074ADD">
            <w:r>
              <w:t>5,547</w:t>
            </w:r>
          </w:p>
        </w:tc>
        <w:tc>
          <w:tcPr>
            <w:tcW w:w="624" w:type="pct"/>
            <w:tcBorders>
              <w:left w:val="single" w:sz="4" w:space="0" w:color="auto"/>
              <w:right w:val="single" w:sz="4" w:space="0" w:color="auto"/>
            </w:tcBorders>
          </w:tcPr>
          <w:p w14:paraId="2E67FE2F" w14:textId="02022505" w:rsidR="00F66B01" w:rsidRDefault="00F66B01" w:rsidP="00074ADD">
            <w:r>
              <w:t>1.2</w:t>
            </w:r>
          </w:p>
        </w:tc>
        <w:tc>
          <w:tcPr>
            <w:tcW w:w="760" w:type="pct"/>
            <w:tcBorders>
              <w:left w:val="single" w:sz="4" w:space="0" w:color="auto"/>
              <w:right w:val="single" w:sz="4" w:space="0" w:color="auto"/>
            </w:tcBorders>
          </w:tcPr>
          <w:p w14:paraId="2D15DB9D" w14:textId="33CD3307" w:rsidR="00F66B01" w:rsidRDefault="00F66B01" w:rsidP="00074ADD">
            <w:r>
              <w:t>1.2</w:t>
            </w:r>
          </w:p>
        </w:tc>
        <w:tc>
          <w:tcPr>
            <w:tcW w:w="734" w:type="pct"/>
            <w:tcBorders>
              <w:left w:val="single" w:sz="4" w:space="0" w:color="auto"/>
            </w:tcBorders>
          </w:tcPr>
          <w:p w14:paraId="3A96E8FB" w14:textId="66B0BE49" w:rsidR="00F66B01" w:rsidRDefault="00F66B01" w:rsidP="00074ADD">
            <w:r>
              <w:t>1.2</w:t>
            </w:r>
          </w:p>
        </w:tc>
        <w:tc>
          <w:tcPr>
            <w:tcW w:w="733" w:type="pct"/>
            <w:tcBorders>
              <w:right w:val="nil"/>
            </w:tcBorders>
          </w:tcPr>
          <w:p w14:paraId="06D973DC" w14:textId="18AE85C2" w:rsidR="00F66B01" w:rsidRDefault="00F66B01" w:rsidP="00074ADD">
            <w:r>
              <w:t>1.2</w:t>
            </w:r>
          </w:p>
        </w:tc>
      </w:tr>
      <w:tr w:rsidR="00F66B01" w14:paraId="58C07C10" w14:textId="713D9C19" w:rsidTr="00D978E8">
        <w:tc>
          <w:tcPr>
            <w:tcW w:w="743" w:type="pct"/>
          </w:tcPr>
          <w:p w14:paraId="7C4135CE" w14:textId="77777777" w:rsidR="00F66B01" w:rsidRDefault="00F66B01" w:rsidP="00074ADD">
            <w:r>
              <w:t>High</w:t>
            </w:r>
          </w:p>
        </w:tc>
        <w:tc>
          <w:tcPr>
            <w:tcW w:w="549" w:type="pct"/>
          </w:tcPr>
          <w:p w14:paraId="39FA9CE5" w14:textId="0F800594" w:rsidR="00F66B01" w:rsidRDefault="00F66B01" w:rsidP="00074ADD">
            <w:r>
              <w:t>50</w:t>
            </w:r>
          </w:p>
        </w:tc>
        <w:tc>
          <w:tcPr>
            <w:tcW w:w="857" w:type="pct"/>
            <w:tcBorders>
              <w:right w:val="single" w:sz="4" w:space="0" w:color="auto"/>
            </w:tcBorders>
          </w:tcPr>
          <w:p w14:paraId="7A8F95B9" w14:textId="5F8FAD34" w:rsidR="00F66B01" w:rsidRDefault="00F66B01" w:rsidP="00074ADD">
            <w:r>
              <w:t>5,547</w:t>
            </w:r>
          </w:p>
        </w:tc>
        <w:tc>
          <w:tcPr>
            <w:tcW w:w="624" w:type="pct"/>
            <w:tcBorders>
              <w:left w:val="single" w:sz="4" w:space="0" w:color="auto"/>
              <w:bottom w:val="single" w:sz="4" w:space="0" w:color="auto"/>
              <w:right w:val="single" w:sz="4" w:space="0" w:color="auto"/>
            </w:tcBorders>
          </w:tcPr>
          <w:p w14:paraId="48B3EE51" w14:textId="23F91057" w:rsidR="00F66B01" w:rsidRDefault="00F66B01" w:rsidP="00074ADD">
            <w:r>
              <w:t>1.8</w:t>
            </w:r>
          </w:p>
        </w:tc>
        <w:tc>
          <w:tcPr>
            <w:tcW w:w="760" w:type="pct"/>
            <w:tcBorders>
              <w:left w:val="single" w:sz="4" w:space="0" w:color="auto"/>
              <w:bottom w:val="single" w:sz="4" w:space="0" w:color="auto"/>
              <w:right w:val="single" w:sz="4" w:space="0" w:color="auto"/>
            </w:tcBorders>
          </w:tcPr>
          <w:p w14:paraId="6CBA1851" w14:textId="78B168F1" w:rsidR="00F66B01" w:rsidRDefault="00F66B01" w:rsidP="00074ADD">
            <w:r>
              <w:t>1.8</w:t>
            </w:r>
          </w:p>
        </w:tc>
        <w:tc>
          <w:tcPr>
            <w:tcW w:w="734" w:type="pct"/>
            <w:tcBorders>
              <w:left w:val="single" w:sz="4" w:space="0" w:color="auto"/>
              <w:bottom w:val="single" w:sz="4" w:space="0" w:color="auto"/>
            </w:tcBorders>
          </w:tcPr>
          <w:p w14:paraId="3A43DEA0" w14:textId="2580E0FF" w:rsidR="00F66B01" w:rsidRDefault="00F66B01" w:rsidP="00074ADD">
            <w:r>
              <w:t>1.8</w:t>
            </w:r>
          </w:p>
        </w:tc>
        <w:tc>
          <w:tcPr>
            <w:tcW w:w="733" w:type="pct"/>
            <w:tcBorders>
              <w:bottom w:val="single" w:sz="4" w:space="0" w:color="auto"/>
              <w:right w:val="nil"/>
            </w:tcBorders>
          </w:tcPr>
          <w:p w14:paraId="7C1926E9" w14:textId="7A4E281C" w:rsidR="00F66B01" w:rsidRDefault="00F66B01" w:rsidP="00074ADD">
            <w:r>
              <w:t>1.8</w:t>
            </w:r>
          </w:p>
        </w:tc>
      </w:tr>
    </w:tbl>
    <w:p w14:paraId="55AAA10E" w14:textId="152DFBB0" w:rsidR="00644756" w:rsidRPr="00B27B08" w:rsidRDefault="00B27B08" w:rsidP="00B27B08">
      <w:pPr>
        <w:jc w:val="right"/>
        <w:rPr>
          <w:sz w:val="20"/>
          <w:szCs w:val="20"/>
        </w:rPr>
      </w:pPr>
      <w:r>
        <w:rPr>
          <w:sz w:val="20"/>
          <w:szCs w:val="20"/>
        </w:rPr>
        <w:t xml:space="preserve">Source: </w:t>
      </w:r>
      <w:r w:rsidR="00460B96">
        <w:rPr>
          <w:sz w:val="20"/>
          <w:szCs w:val="20"/>
        </w:rPr>
        <w:t>EFTEC, 2013; DHSC analysis of current BFR legislation</w:t>
      </w:r>
      <w:r w:rsidR="0054768D">
        <w:rPr>
          <w:sz w:val="20"/>
          <w:szCs w:val="20"/>
        </w:rPr>
        <w:t>; HMT GDP deflators.</w:t>
      </w:r>
      <w:r>
        <w:rPr>
          <w:sz w:val="20"/>
          <w:szCs w:val="20"/>
        </w:rPr>
        <w:t xml:space="preserve"> </w:t>
      </w:r>
    </w:p>
    <w:p w14:paraId="3F1B5D1A" w14:textId="77777777" w:rsidR="00382C0A" w:rsidRDefault="00382C0A" w:rsidP="00A70924"/>
    <w:p w14:paraId="11C5B203" w14:textId="24FCB463" w:rsidR="00382C0A" w:rsidRDefault="003C4BB6" w:rsidP="00A70924">
      <w:r>
        <w:t xml:space="preserve">For </w:t>
      </w:r>
      <w:r w:rsidRPr="00D257E6">
        <w:t xml:space="preserve">wages, </w:t>
      </w:r>
      <w:r w:rsidR="00AC732D" w:rsidRPr="00D257E6">
        <w:t>ONS’</w:t>
      </w:r>
      <w:r w:rsidRPr="00D257E6">
        <w:t xml:space="preserve"> </w:t>
      </w:r>
      <w:hyperlink r:id="rId38" w:history="1">
        <w:r w:rsidR="00AC732D" w:rsidRPr="00AF74F9">
          <w:rPr>
            <w:rStyle w:val="Hyperlink"/>
            <w:rFonts w:cstheme="minorBidi"/>
            <w:color w:val="0070C0"/>
          </w:rPr>
          <w:t>Annual Survey of Hours and Earnings 2021</w:t>
        </w:r>
      </w:hyperlink>
      <w:r w:rsidR="00AC732D" w:rsidRPr="00AF74F9">
        <w:rPr>
          <w:color w:val="0070C0"/>
        </w:rPr>
        <w:t xml:space="preserve"> </w:t>
      </w:r>
      <w:r w:rsidR="00AC732D" w:rsidRPr="00D257E6">
        <w:t>was used</w:t>
      </w:r>
      <w:r w:rsidR="00CA1100" w:rsidRPr="00D257E6">
        <w:t xml:space="preserve">. While Scottish data is available in Table 15, </w:t>
      </w:r>
      <w:r w:rsidR="00B440CE" w:rsidRPr="00D257E6">
        <w:t xml:space="preserve">a lot of wages were supressed due to </w:t>
      </w:r>
      <w:r w:rsidR="009D2EBA" w:rsidRPr="00D257E6">
        <w:t>the</w:t>
      </w:r>
      <w:r w:rsidR="00B440CE" w:rsidRPr="00D257E6">
        <w:t xml:space="preserve"> low sample</w:t>
      </w:r>
      <w:r w:rsidR="009D2EBA" w:rsidRPr="00D257E6">
        <w:t xml:space="preserve">. For this reason, we use the UK </w:t>
      </w:r>
      <w:r w:rsidRPr="00D257E6">
        <w:t xml:space="preserve">ASHE </w:t>
      </w:r>
      <w:r w:rsidRPr="00D257E6">
        <w:rPr>
          <w:rFonts w:cstheme="minorHAnsi"/>
        </w:rPr>
        <w:t>dataset</w:t>
      </w:r>
      <w:r w:rsidR="00191060" w:rsidRPr="00D257E6">
        <w:rPr>
          <w:rStyle w:val="FootnoteReference"/>
          <w:rFonts w:asciiTheme="minorHAnsi" w:hAnsiTheme="minorHAnsi" w:cstheme="minorHAnsi"/>
          <w:sz w:val="24"/>
        </w:rPr>
        <w:footnoteReference w:id="20"/>
      </w:r>
      <w:r w:rsidRPr="00D257E6">
        <w:t xml:space="preserve"> </w:t>
      </w:r>
      <w:r w:rsidR="009D2EBA" w:rsidRPr="00D257E6">
        <w:t>and assume these wages are representative for Scotland</w:t>
      </w:r>
      <w:r w:rsidR="00180448" w:rsidRPr="00D257E6">
        <w:t xml:space="preserve"> (A2</w:t>
      </w:r>
      <w:r w:rsidR="00950CA1">
        <w:t>8</w:t>
      </w:r>
      <w:r w:rsidR="00180448" w:rsidRPr="00D257E6">
        <w:t>)</w:t>
      </w:r>
      <w:r w:rsidRPr="00D257E6">
        <w:t>. To</w:t>
      </w:r>
      <w:r>
        <w:t xml:space="preserve"> account for non-wage labour costs,</w:t>
      </w:r>
      <w:r w:rsidR="009E0EDE">
        <w:t xml:space="preserve"> 19% was added to the wage costs based on the </w:t>
      </w:r>
      <w:hyperlink r:id="rId39" w:history="1">
        <w:r w:rsidR="009E0EDE" w:rsidRPr="00AF74F9">
          <w:rPr>
            <w:rStyle w:val="Hyperlink"/>
            <w:rFonts w:cstheme="minorBidi"/>
            <w:color w:val="0070C0"/>
          </w:rPr>
          <w:t>latest ONS data</w:t>
        </w:r>
      </w:hyperlink>
      <w:r w:rsidR="009E0EDE">
        <w:t xml:space="preserve"> for July-September 2020.</w:t>
      </w:r>
      <w:r w:rsidR="000C64DD">
        <w:t xml:space="preserve"> The 25</w:t>
      </w:r>
      <w:r w:rsidR="000C64DD" w:rsidRPr="000C64DD">
        <w:rPr>
          <w:vertAlign w:val="superscript"/>
        </w:rPr>
        <w:t>th</w:t>
      </w:r>
      <w:r w:rsidR="000C64DD">
        <w:t xml:space="preserve"> and 75</w:t>
      </w:r>
      <w:r w:rsidR="000C64DD" w:rsidRPr="000C64DD">
        <w:rPr>
          <w:vertAlign w:val="superscript"/>
        </w:rPr>
        <w:t>th</w:t>
      </w:r>
      <w:r w:rsidR="000C64DD">
        <w:t xml:space="preserve"> </w:t>
      </w:r>
      <w:r w:rsidR="00D63ABE">
        <w:t xml:space="preserve">wage </w:t>
      </w:r>
      <w:r w:rsidR="000C64DD">
        <w:t>percentiles were used to construct our low and high estimates, in line with the DHSC impact assessment.</w:t>
      </w:r>
    </w:p>
    <w:p w14:paraId="5DA8092F" w14:textId="77777777" w:rsidR="00F66B01" w:rsidRDefault="00F66B01" w:rsidP="00A70924"/>
    <w:p w14:paraId="50BC34D8" w14:textId="5A5B2BDF" w:rsidR="00D978E8" w:rsidRPr="00AF74F9" w:rsidRDefault="00D978E8" w:rsidP="00D978E8">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24</w:t>
      </w:r>
      <w:r w:rsidR="00000F90" w:rsidRPr="00AF74F9">
        <w:rPr>
          <w:noProof/>
          <w:color w:val="auto"/>
        </w:rPr>
        <w:fldChar w:fldCharType="end"/>
      </w:r>
      <w:r w:rsidRPr="00AF74F9">
        <w:rPr>
          <w:color w:val="auto"/>
        </w:rPr>
        <w:t xml:space="preserve">. </w:t>
      </w:r>
      <w:r w:rsidR="00000B15" w:rsidRPr="00AF74F9">
        <w:rPr>
          <w:color w:val="auto"/>
        </w:rPr>
        <w:t>Estimated familiarisation cost per miller</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63"/>
        <w:gridCol w:w="863"/>
        <w:gridCol w:w="1702"/>
        <w:gridCol w:w="850"/>
        <w:gridCol w:w="1844"/>
        <w:gridCol w:w="1281"/>
        <w:gridCol w:w="1943"/>
      </w:tblGrid>
      <w:tr w:rsidR="008A3256" w:rsidRPr="00C23D2A" w14:paraId="5CA97899" w14:textId="02DC18D9" w:rsidTr="008A3256">
        <w:trPr>
          <w:trHeight w:val="784"/>
        </w:trPr>
        <w:tc>
          <w:tcPr>
            <w:tcW w:w="648" w:type="pct"/>
            <w:vMerge w:val="restart"/>
            <w:tcBorders>
              <w:top w:val="single" w:sz="4" w:space="0" w:color="auto"/>
              <w:bottom w:val="nil"/>
            </w:tcBorders>
          </w:tcPr>
          <w:p w14:paraId="09EA66E1" w14:textId="77777777" w:rsidR="008160A6" w:rsidRDefault="008160A6" w:rsidP="00100744">
            <w:pPr>
              <w:rPr>
                <w:b/>
                <w:bCs/>
              </w:rPr>
            </w:pPr>
          </w:p>
        </w:tc>
        <w:tc>
          <w:tcPr>
            <w:tcW w:w="1316" w:type="pct"/>
            <w:gridSpan w:val="2"/>
            <w:tcBorders>
              <w:top w:val="single" w:sz="4" w:space="0" w:color="auto"/>
              <w:bottom w:val="nil"/>
              <w:right w:val="single" w:sz="4" w:space="0" w:color="auto"/>
            </w:tcBorders>
          </w:tcPr>
          <w:p w14:paraId="3C5E4076" w14:textId="199B823A" w:rsidR="008160A6" w:rsidRDefault="008160A6" w:rsidP="00100744">
            <w:pPr>
              <w:rPr>
                <w:b/>
                <w:bCs/>
              </w:rPr>
            </w:pPr>
            <w:r>
              <w:rPr>
                <w:b/>
                <w:bCs/>
              </w:rPr>
              <w:t>R&amp;D Manager</w:t>
            </w:r>
          </w:p>
        </w:tc>
        <w:tc>
          <w:tcPr>
            <w:tcW w:w="1382" w:type="pct"/>
            <w:gridSpan w:val="2"/>
            <w:tcBorders>
              <w:top w:val="single" w:sz="4" w:space="0" w:color="auto"/>
              <w:left w:val="single" w:sz="4" w:space="0" w:color="auto"/>
              <w:bottom w:val="nil"/>
              <w:right w:val="single" w:sz="4" w:space="0" w:color="auto"/>
            </w:tcBorders>
          </w:tcPr>
          <w:p w14:paraId="3CB5F554" w14:textId="64D081F6" w:rsidR="008160A6" w:rsidRDefault="008160A6" w:rsidP="00100744">
            <w:pPr>
              <w:rPr>
                <w:b/>
                <w:bCs/>
              </w:rPr>
            </w:pPr>
            <w:r>
              <w:rPr>
                <w:b/>
                <w:bCs/>
              </w:rPr>
              <w:t>Corporate Manager</w:t>
            </w:r>
          </w:p>
        </w:tc>
        <w:tc>
          <w:tcPr>
            <w:tcW w:w="657" w:type="pct"/>
            <w:tcBorders>
              <w:top w:val="single" w:sz="4" w:space="0" w:color="auto"/>
              <w:left w:val="single" w:sz="4" w:space="0" w:color="auto"/>
              <w:bottom w:val="nil"/>
              <w:right w:val="single" w:sz="4" w:space="0" w:color="auto"/>
            </w:tcBorders>
          </w:tcPr>
          <w:p w14:paraId="49A25A0A" w14:textId="351F3789" w:rsidR="008160A6" w:rsidRDefault="008160A6" w:rsidP="00100744">
            <w:pPr>
              <w:rPr>
                <w:b/>
                <w:bCs/>
              </w:rPr>
            </w:pPr>
            <w:r>
              <w:rPr>
                <w:b/>
                <w:bCs/>
              </w:rPr>
              <w:t>Wage uplift</w:t>
            </w:r>
          </w:p>
        </w:tc>
        <w:tc>
          <w:tcPr>
            <w:tcW w:w="997" w:type="pct"/>
            <w:tcBorders>
              <w:top w:val="single" w:sz="4" w:space="0" w:color="auto"/>
              <w:left w:val="single" w:sz="4" w:space="0" w:color="auto"/>
              <w:bottom w:val="nil"/>
            </w:tcBorders>
          </w:tcPr>
          <w:p w14:paraId="50B1EBA9" w14:textId="0AD972C4" w:rsidR="008160A6" w:rsidRDefault="008160A6" w:rsidP="00100744">
            <w:pPr>
              <w:rPr>
                <w:b/>
                <w:bCs/>
              </w:rPr>
            </w:pPr>
            <w:r>
              <w:rPr>
                <w:b/>
                <w:bCs/>
              </w:rPr>
              <w:t>Familiarisation cost per miller</w:t>
            </w:r>
          </w:p>
        </w:tc>
      </w:tr>
      <w:tr w:rsidR="008A3256" w14:paraId="7A94E2F2" w14:textId="6978B0DE" w:rsidTr="00C84730">
        <w:trPr>
          <w:trHeight w:val="123"/>
        </w:trPr>
        <w:tc>
          <w:tcPr>
            <w:tcW w:w="648" w:type="pct"/>
            <w:vMerge/>
            <w:tcBorders>
              <w:top w:val="nil"/>
              <w:bottom w:val="single" w:sz="4" w:space="0" w:color="auto"/>
            </w:tcBorders>
          </w:tcPr>
          <w:p w14:paraId="0CB1809D" w14:textId="77777777" w:rsidR="008160A6" w:rsidRDefault="008160A6" w:rsidP="00100744">
            <w:pPr>
              <w:rPr>
                <w:sz w:val="20"/>
                <w:szCs w:val="20"/>
              </w:rPr>
            </w:pPr>
          </w:p>
        </w:tc>
        <w:tc>
          <w:tcPr>
            <w:tcW w:w="443" w:type="pct"/>
            <w:tcBorders>
              <w:top w:val="nil"/>
              <w:bottom w:val="single" w:sz="4" w:space="0" w:color="auto"/>
            </w:tcBorders>
          </w:tcPr>
          <w:p w14:paraId="1877701F" w14:textId="7FEB9B4B" w:rsidR="008160A6" w:rsidRDefault="008160A6" w:rsidP="00100744">
            <w:pPr>
              <w:rPr>
                <w:sz w:val="20"/>
                <w:szCs w:val="20"/>
              </w:rPr>
            </w:pPr>
            <w:r>
              <w:rPr>
                <w:sz w:val="20"/>
                <w:szCs w:val="20"/>
              </w:rPr>
              <w:t>Hours</w:t>
            </w:r>
          </w:p>
        </w:tc>
        <w:tc>
          <w:tcPr>
            <w:tcW w:w="873" w:type="pct"/>
            <w:tcBorders>
              <w:top w:val="nil"/>
              <w:bottom w:val="single" w:sz="4" w:space="0" w:color="auto"/>
              <w:right w:val="single" w:sz="4" w:space="0" w:color="auto"/>
            </w:tcBorders>
          </w:tcPr>
          <w:p w14:paraId="0E267FAC" w14:textId="52DD61FF" w:rsidR="008160A6" w:rsidRDefault="008160A6" w:rsidP="00100744">
            <w:pPr>
              <w:rPr>
                <w:sz w:val="20"/>
                <w:szCs w:val="20"/>
              </w:rPr>
            </w:pPr>
            <w:r>
              <w:rPr>
                <w:sz w:val="20"/>
                <w:szCs w:val="20"/>
              </w:rPr>
              <w:t>Wage</w:t>
            </w:r>
            <w:r w:rsidR="008D5115">
              <w:rPr>
                <w:sz w:val="20"/>
                <w:szCs w:val="20"/>
              </w:rPr>
              <w:t xml:space="preserve"> (£ </w:t>
            </w:r>
            <w:r w:rsidR="0054023A">
              <w:rPr>
                <w:sz w:val="20"/>
                <w:szCs w:val="20"/>
              </w:rPr>
              <w:t>2024</w:t>
            </w:r>
            <w:r w:rsidR="008D5115">
              <w:rPr>
                <w:sz w:val="20"/>
                <w:szCs w:val="20"/>
              </w:rPr>
              <w:t>)</w:t>
            </w:r>
          </w:p>
        </w:tc>
        <w:tc>
          <w:tcPr>
            <w:tcW w:w="436" w:type="pct"/>
            <w:tcBorders>
              <w:top w:val="nil"/>
              <w:left w:val="single" w:sz="4" w:space="0" w:color="auto"/>
              <w:bottom w:val="single" w:sz="4" w:space="0" w:color="auto"/>
            </w:tcBorders>
          </w:tcPr>
          <w:p w14:paraId="391520B7" w14:textId="6F864C35" w:rsidR="008160A6" w:rsidRDefault="008160A6" w:rsidP="00100744">
            <w:pPr>
              <w:rPr>
                <w:sz w:val="20"/>
                <w:szCs w:val="20"/>
              </w:rPr>
            </w:pPr>
            <w:r>
              <w:rPr>
                <w:sz w:val="20"/>
                <w:szCs w:val="20"/>
              </w:rPr>
              <w:t>Hours</w:t>
            </w:r>
          </w:p>
        </w:tc>
        <w:tc>
          <w:tcPr>
            <w:tcW w:w="946" w:type="pct"/>
            <w:tcBorders>
              <w:top w:val="nil"/>
              <w:bottom w:val="single" w:sz="4" w:space="0" w:color="auto"/>
              <w:right w:val="single" w:sz="4" w:space="0" w:color="auto"/>
            </w:tcBorders>
          </w:tcPr>
          <w:p w14:paraId="0B0DD283" w14:textId="061F4D4D" w:rsidR="008160A6" w:rsidRDefault="008160A6" w:rsidP="00100744">
            <w:pPr>
              <w:rPr>
                <w:sz w:val="20"/>
                <w:szCs w:val="20"/>
              </w:rPr>
            </w:pPr>
            <w:r>
              <w:rPr>
                <w:sz w:val="20"/>
                <w:szCs w:val="20"/>
              </w:rPr>
              <w:t>Wage</w:t>
            </w:r>
            <w:r w:rsidR="008D5115">
              <w:rPr>
                <w:sz w:val="20"/>
                <w:szCs w:val="20"/>
              </w:rPr>
              <w:t xml:space="preserve"> (£ </w:t>
            </w:r>
            <w:r w:rsidR="0054023A">
              <w:rPr>
                <w:sz w:val="20"/>
                <w:szCs w:val="20"/>
              </w:rPr>
              <w:t>2024</w:t>
            </w:r>
            <w:r w:rsidR="008D5115">
              <w:rPr>
                <w:sz w:val="20"/>
                <w:szCs w:val="20"/>
              </w:rPr>
              <w:t>)</w:t>
            </w:r>
          </w:p>
        </w:tc>
        <w:tc>
          <w:tcPr>
            <w:tcW w:w="657" w:type="pct"/>
            <w:tcBorders>
              <w:top w:val="nil"/>
              <w:left w:val="single" w:sz="4" w:space="0" w:color="auto"/>
              <w:bottom w:val="single" w:sz="4" w:space="0" w:color="auto"/>
              <w:right w:val="single" w:sz="4" w:space="0" w:color="auto"/>
            </w:tcBorders>
          </w:tcPr>
          <w:p w14:paraId="5362BEE1" w14:textId="68E01FCC" w:rsidR="008160A6" w:rsidRDefault="008160A6" w:rsidP="00100744">
            <w:pPr>
              <w:rPr>
                <w:sz w:val="20"/>
                <w:szCs w:val="20"/>
              </w:rPr>
            </w:pPr>
            <w:r>
              <w:rPr>
                <w:sz w:val="20"/>
                <w:szCs w:val="20"/>
              </w:rPr>
              <w:t>%</w:t>
            </w:r>
          </w:p>
        </w:tc>
        <w:tc>
          <w:tcPr>
            <w:tcW w:w="997" w:type="pct"/>
            <w:tcBorders>
              <w:top w:val="nil"/>
              <w:left w:val="single" w:sz="4" w:space="0" w:color="auto"/>
              <w:bottom w:val="single" w:sz="4" w:space="0" w:color="auto"/>
            </w:tcBorders>
          </w:tcPr>
          <w:p w14:paraId="56261BC0" w14:textId="6DC343AB" w:rsidR="008160A6" w:rsidRDefault="008160A6" w:rsidP="00100744">
            <w:pPr>
              <w:rPr>
                <w:sz w:val="20"/>
                <w:szCs w:val="20"/>
              </w:rPr>
            </w:pPr>
            <w:r>
              <w:rPr>
                <w:sz w:val="20"/>
                <w:szCs w:val="20"/>
              </w:rPr>
              <w:t>£</w:t>
            </w:r>
            <w:r w:rsidR="00C84730">
              <w:rPr>
                <w:sz w:val="20"/>
                <w:szCs w:val="20"/>
              </w:rPr>
              <w:t xml:space="preserve"> </w:t>
            </w:r>
            <w:r w:rsidR="0054023A">
              <w:rPr>
                <w:sz w:val="20"/>
                <w:szCs w:val="20"/>
              </w:rPr>
              <w:t>2024</w:t>
            </w:r>
          </w:p>
        </w:tc>
      </w:tr>
      <w:tr w:rsidR="009F19AC" w14:paraId="283491F3" w14:textId="55079FEE" w:rsidTr="00C84730">
        <w:tc>
          <w:tcPr>
            <w:tcW w:w="648" w:type="pct"/>
            <w:tcBorders>
              <w:top w:val="single" w:sz="4" w:space="0" w:color="auto"/>
            </w:tcBorders>
          </w:tcPr>
          <w:p w14:paraId="68B1A17C" w14:textId="5AF0C351" w:rsidR="008160A6" w:rsidRDefault="008160A6" w:rsidP="00100744">
            <w:r>
              <w:t>Low</w:t>
            </w:r>
          </w:p>
        </w:tc>
        <w:tc>
          <w:tcPr>
            <w:tcW w:w="443" w:type="pct"/>
            <w:tcBorders>
              <w:top w:val="single" w:sz="4" w:space="0" w:color="auto"/>
            </w:tcBorders>
          </w:tcPr>
          <w:p w14:paraId="3CD34F48" w14:textId="013AB42D" w:rsidR="008160A6" w:rsidRDefault="005B56FC" w:rsidP="00100744">
            <w:r>
              <w:t>1.8</w:t>
            </w:r>
          </w:p>
        </w:tc>
        <w:tc>
          <w:tcPr>
            <w:tcW w:w="873" w:type="pct"/>
            <w:tcBorders>
              <w:top w:val="single" w:sz="4" w:space="0" w:color="auto"/>
              <w:right w:val="single" w:sz="4" w:space="0" w:color="auto"/>
            </w:tcBorders>
          </w:tcPr>
          <w:p w14:paraId="518F2257" w14:textId="1F6B0982" w:rsidR="008160A6" w:rsidRDefault="005C5F68" w:rsidP="00100744">
            <w:r>
              <w:t>22.37</w:t>
            </w:r>
          </w:p>
        </w:tc>
        <w:tc>
          <w:tcPr>
            <w:tcW w:w="436" w:type="pct"/>
            <w:tcBorders>
              <w:top w:val="single" w:sz="4" w:space="0" w:color="auto"/>
              <w:left w:val="single" w:sz="4" w:space="0" w:color="auto"/>
            </w:tcBorders>
          </w:tcPr>
          <w:p w14:paraId="11955041" w14:textId="68160A8C" w:rsidR="008160A6" w:rsidRDefault="00AF7A7D" w:rsidP="00100744">
            <w:r>
              <w:t>1.8</w:t>
            </w:r>
          </w:p>
        </w:tc>
        <w:tc>
          <w:tcPr>
            <w:tcW w:w="946" w:type="pct"/>
            <w:tcBorders>
              <w:top w:val="single" w:sz="4" w:space="0" w:color="auto"/>
              <w:right w:val="single" w:sz="4" w:space="0" w:color="auto"/>
            </w:tcBorders>
          </w:tcPr>
          <w:p w14:paraId="73A2F0B8" w14:textId="34A954DA" w:rsidR="008160A6" w:rsidRDefault="009F3130" w:rsidP="00100744">
            <w:r>
              <w:t>18.06</w:t>
            </w:r>
          </w:p>
        </w:tc>
        <w:tc>
          <w:tcPr>
            <w:tcW w:w="657" w:type="pct"/>
            <w:tcBorders>
              <w:top w:val="single" w:sz="4" w:space="0" w:color="auto"/>
              <w:left w:val="single" w:sz="4" w:space="0" w:color="auto"/>
              <w:right w:val="single" w:sz="4" w:space="0" w:color="auto"/>
            </w:tcBorders>
          </w:tcPr>
          <w:p w14:paraId="131DD666" w14:textId="5FB0BEC8" w:rsidR="008160A6" w:rsidRDefault="00BB6B95" w:rsidP="00100744">
            <w:r>
              <w:t>19</w:t>
            </w:r>
          </w:p>
        </w:tc>
        <w:tc>
          <w:tcPr>
            <w:tcW w:w="997" w:type="pct"/>
            <w:tcBorders>
              <w:top w:val="single" w:sz="4" w:space="0" w:color="auto"/>
              <w:left w:val="single" w:sz="4" w:space="0" w:color="auto"/>
            </w:tcBorders>
          </w:tcPr>
          <w:p w14:paraId="208F5610" w14:textId="186BB3BF" w:rsidR="008160A6" w:rsidRDefault="00AE395B" w:rsidP="00100744">
            <w:r>
              <w:t>113.57</w:t>
            </w:r>
          </w:p>
        </w:tc>
      </w:tr>
      <w:tr w:rsidR="009F19AC" w14:paraId="041536AD" w14:textId="52DE800C" w:rsidTr="00C84730">
        <w:tc>
          <w:tcPr>
            <w:tcW w:w="648" w:type="pct"/>
          </w:tcPr>
          <w:p w14:paraId="3AEA051E" w14:textId="659F87C8" w:rsidR="008160A6" w:rsidRDefault="008160A6" w:rsidP="00100744">
            <w:r>
              <w:t>Central</w:t>
            </w:r>
          </w:p>
        </w:tc>
        <w:tc>
          <w:tcPr>
            <w:tcW w:w="443" w:type="pct"/>
          </w:tcPr>
          <w:p w14:paraId="03CFE3EF" w14:textId="390A0574" w:rsidR="008160A6" w:rsidRDefault="005B56FC" w:rsidP="00100744">
            <w:r>
              <w:t>2.4</w:t>
            </w:r>
          </w:p>
        </w:tc>
        <w:tc>
          <w:tcPr>
            <w:tcW w:w="873" w:type="pct"/>
            <w:tcBorders>
              <w:right w:val="single" w:sz="4" w:space="0" w:color="auto"/>
            </w:tcBorders>
          </w:tcPr>
          <w:p w14:paraId="140C322F" w14:textId="2688FC47" w:rsidR="008160A6" w:rsidRDefault="009F3130" w:rsidP="00100744">
            <w:r>
              <w:t>27.85</w:t>
            </w:r>
          </w:p>
        </w:tc>
        <w:tc>
          <w:tcPr>
            <w:tcW w:w="436" w:type="pct"/>
            <w:tcBorders>
              <w:left w:val="single" w:sz="4" w:space="0" w:color="auto"/>
            </w:tcBorders>
          </w:tcPr>
          <w:p w14:paraId="5967F455" w14:textId="034B8CD0" w:rsidR="008160A6" w:rsidRDefault="00AF7A7D" w:rsidP="00100744">
            <w:r>
              <w:t>2.4</w:t>
            </w:r>
          </w:p>
        </w:tc>
        <w:tc>
          <w:tcPr>
            <w:tcW w:w="946" w:type="pct"/>
            <w:tcBorders>
              <w:right w:val="single" w:sz="4" w:space="0" w:color="auto"/>
            </w:tcBorders>
          </w:tcPr>
          <w:p w14:paraId="1AA5A70B" w14:textId="1D6A23AB" w:rsidR="008160A6" w:rsidRDefault="009F3130" w:rsidP="00100744">
            <w:r>
              <w:t>27.00</w:t>
            </w:r>
          </w:p>
        </w:tc>
        <w:tc>
          <w:tcPr>
            <w:tcW w:w="657" w:type="pct"/>
            <w:tcBorders>
              <w:left w:val="single" w:sz="4" w:space="0" w:color="auto"/>
              <w:right w:val="single" w:sz="4" w:space="0" w:color="auto"/>
            </w:tcBorders>
          </w:tcPr>
          <w:p w14:paraId="1E3D388E" w14:textId="391B4150" w:rsidR="008160A6" w:rsidRDefault="00BB6B95" w:rsidP="00100744">
            <w:r>
              <w:t>19</w:t>
            </w:r>
          </w:p>
        </w:tc>
        <w:tc>
          <w:tcPr>
            <w:tcW w:w="997" w:type="pct"/>
            <w:tcBorders>
              <w:left w:val="single" w:sz="4" w:space="0" w:color="auto"/>
            </w:tcBorders>
          </w:tcPr>
          <w:p w14:paraId="3CE33B41" w14:textId="6AC135E6" w:rsidR="008160A6" w:rsidRDefault="00AE395B" w:rsidP="00100744">
            <w:r>
              <w:t>201.73</w:t>
            </w:r>
          </w:p>
        </w:tc>
      </w:tr>
      <w:tr w:rsidR="008A3256" w14:paraId="5406363E" w14:textId="7B41DBB8" w:rsidTr="00C84730">
        <w:tc>
          <w:tcPr>
            <w:tcW w:w="648" w:type="pct"/>
          </w:tcPr>
          <w:p w14:paraId="11BDB920" w14:textId="66FE4731" w:rsidR="008160A6" w:rsidRDefault="008160A6" w:rsidP="00100744">
            <w:r>
              <w:t>High</w:t>
            </w:r>
          </w:p>
        </w:tc>
        <w:tc>
          <w:tcPr>
            <w:tcW w:w="443" w:type="pct"/>
          </w:tcPr>
          <w:p w14:paraId="3CDF3D80" w14:textId="4FE3633C" w:rsidR="008160A6" w:rsidRDefault="00F83FA5" w:rsidP="00100744">
            <w:r>
              <w:t>3.</w:t>
            </w:r>
            <w:r w:rsidR="00AF7A7D">
              <w:t>6</w:t>
            </w:r>
          </w:p>
        </w:tc>
        <w:tc>
          <w:tcPr>
            <w:tcW w:w="873" w:type="pct"/>
            <w:tcBorders>
              <w:bottom w:val="single" w:sz="4" w:space="0" w:color="auto"/>
              <w:right w:val="single" w:sz="4" w:space="0" w:color="auto"/>
            </w:tcBorders>
          </w:tcPr>
          <w:p w14:paraId="6AF2C634" w14:textId="3957E621" w:rsidR="008160A6" w:rsidRDefault="009F3130" w:rsidP="00100744">
            <w:r>
              <w:t>35.90</w:t>
            </w:r>
          </w:p>
        </w:tc>
        <w:tc>
          <w:tcPr>
            <w:tcW w:w="436" w:type="pct"/>
            <w:tcBorders>
              <w:left w:val="single" w:sz="4" w:space="0" w:color="auto"/>
              <w:bottom w:val="single" w:sz="4" w:space="0" w:color="auto"/>
            </w:tcBorders>
          </w:tcPr>
          <w:p w14:paraId="5B47293F" w14:textId="4E8DD768" w:rsidR="008160A6" w:rsidRDefault="00AF7A7D" w:rsidP="00100744">
            <w:r>
              <w:t>3.6</w:t>
            </w:r>
          </w:p>
        </w:tc>
        <w:tc>
          <w:tcPr>
            <w:tcW w:w="946" w:type="pct"/>
            <w:tcBorders>
              <w:bottom w:val="single" w:sz="4" w:space="0" w:color="auto"/>
              <w:right w:val="single" w:sz="4" w:space="0" w:color="auto"/>
            </w:tcBorders>
          </w:tcPr>
          <w:p w14:paraId="2529EFD8" w14:textId="0640CB75" w:rsidR="008160A6" w:rsidRDefault="009F3130" w:rsidP="00100744">
            <w:r>
              <w:t>41.</w:t>
            </w:r>
            <w:r w:rsidR="005B31D3">
              <w:t>39</w:t>
            </w:r>
          </w:p>
        </w:tc>
        <w:tc>
          <w:tcPr>
            <w:tcW w:w="657" w:type="pct"/>
            <w:tcBorders>
              <w:left w:val="single" w:sz="4" w:space="0" w:color="auto"/>
              <w:bottom w:val="single" w:sz="4" w:space="0" w:color="auto"/>
              <w:right w:val="single" w:sz="4" w:space="0" w:color="auto"/>
            </w:tcBorders>
          </w:tcPr>
          <w:p w14:paraId="3629C77C" w14:textId="15AA2A1F" w:rsidR="008160A6" w:rsidRDefault="00BB6B95" w:rsidP="00100744">
            <w:r>
              <w:t>19</w:t>
            </w:r>
          </w:p>
        </w:tc>
        <w:tc>
          <w:tcPr>
            <w:tcW w:w="997" w:type="pct"/>
            <w:tcBorders>
              <w:left w:val="single" w:sz="4" w:space="0" w:color="auto"/>
            </w:tcBorders>
          </w:tcPr>
          <w:p w14:paraId="289729C4" w14:textId="087D687E" w:rsidR="008160A6" w:rsidRDefault="00AE395B" w:rsidP="00100744">
            <w:r>
              <w:t>419.10</w:t>
            </w:r>
          </w:p>
        </w:tc>
      </w:tr>
    </w:tbl>
    <w:p w14:paraId="797AD795" w14:textId="77777777" w:rsidR="00F66B01" w:rsidRDefault="00F66B01" w:rsidP="00A70924"/>
    <w:p w14:paraId="6E494922" w14:textId="0AEC8D95" w:rsidR="007E2933" w:rsidRDefault="00B04FA5" w:rsidP="00A70924">
      <w:r>
        <w:t xml:space="preserve">ONS data </w:t>
      </w:r>
      <w:r w:rsidR="00EB77DD">
        <w:t xml:space="preserve">from 2022 </w:t>
      </w:r>
      <w:r w:rsidR="00445F77">
        <w:t>reports</w:t>
      </w:r>
      <w:r w:rsidR="004C026D">
        <w:t xml:space="preserve"> there being </w:t>
      </w:r>
      <w:r w:rsidR="00EB77DD">
        <w:t>five</w:t>
      </w:r>
      <w:r>
        <w:t xml:space="preserve"> </w:t>
      </w:r>
      <w:r w:rsidR="00C424F8">
        <w:t>grain millers in Scotland</w:t>
      </w:r>
      <w:r w:rsidR="00445F77">
        <w:t xml:space="preserve"> – al</w:t>
      </w:r>
      <w:r w:rsidR="004C026D">
        <w:t xml:space="preserve">though this figure is rounded to the nearest </w:t>
      </w:r>
      <w:r w:rsidR="00EB77DD">
        <w:t>five (</w:t>
      </w:r>
      <w:r w:rsidR="005722BB">
        <w:t>and</w:t>
      </w:r>
      <w:r w:rsidR="00EB77DD">
        <w:t xml:space="preserve"> rounded down to zero in cases where there are two or less). The five businesses that are shown in the data </w:t>
      </w:r>
      <w:r w:rsidR="009010E0">
        <w:t xml:space="preserve">are </w:t>
      </w:r>
      <w:r w:rsidR="00EB77DD">
        <w:t xml:space="preserve">all </w:t>
      </w:r>
      <w:r w:rsidR="009010E0">
        <w:t>micro-sized businesses</w:t>
      </w:r>
      <w:r w:rsidR="0087745F">
        <w:t xml:space="preserve"> with </w:t>
      </w:r>
      <w:r w:rsidR="00E13F59">
        <w:t>zero to nine</w:t>
      </w:r>
      <w:r w:rsidR="0087745F">
        <w:t xml:space="preserve"> employees</w:t>
      </w:r>
      <w:r w:rsidR="00EB77DD">
        <w:t xml:space="preserve">, which means that </w:t>
      </w:r>
      <w:r w:rsidR="004C026D">
        <w:t xml:space="preserve">there </w:t>
      </w:r>
      <w:r w:rsidR="00445F77">
        <w:t>could be</w:t>
      </w:r>
      <w:r w:rsidR="004C026D">
        <w:t xml:space="preserve"> between </w:t>
      </w:r>
      <w:r w:rsidR="00EB77DD">
        <w:t xml:space="preserve">three </w:t>
      </w:r>
      <w:r w:rsidR="004C026D">
        <w:t xml:space="preserve">and </w:t>
      </w:r>
      <w:r w:rsidR="00EB77DD">
        <w:t>seven</w:t>
      </w:r>
      <w:r w:rsidR="004C026D">
        <w:t xml:space="preserve"> </w:t>
      </w:r>
      <w:r w:rsidR="007D02E4">
        <w:t xml:space="preserve">micro-sized </w:t>
      </w:r>
      <w:r w:rsidR="004C026D">
        <w:t>grain millers</w:t>
      </w:r>
      <w:r w:rsidR="007D02E4">
        <w:t xml:space="preserve">, and up to </w:t>
      </w:r>
      <w:r w:rsidR="00544EC6">
        <w:t>two</w:t>
      </w:r>
      <w:r w:rsidR="007D02E4">
        <w:t xml:space="preserve"> millers of each other size</w:t>
      </w:r>
      <w:r w:rsidR="00125CB1">
        <w:t xml:space="preserve"> (</w:t>
      </w:r>
      <w:r w:rsidR="00544EC6">
        <w:t>provided the total is also between three or seven</w:t>
      </w:r>
      <w:r w:rsidR="00BB007C">
        <w:t>)</w:t>
      </w:r>
      <w:r w:rsidR="004C026D">
        <w:t>.</w:t>
      </w:r>
    </w:p>
    <w:p w14:paraId="653EF40B" w14:textId="77777777" w:rsidR="007E2933" w:rsidRPr="00AF74F9" w:rsidRDefault="007E2933" w:rsidP="00A70924"/>
    <w:p w14:paraId="48E5CBC1" w14:textId="439D5D6B" w:rsidR="00731996" w:rsidRPr="00AF74F9" w:rsidRDefault="00731996" w:rsidP="00731996">
      <w:pPr>
        <w:pStyle w:val="Caption"/>
        <w:keepNext/>
        <w:rPr>
          <w:color w:val="auto"/>
        </w:rPr>
      </w:pPr>
      <w:bookmarkStart w:id="132" w:name="_Ref146271310"/>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25</w:t>
      </w:r>
      <w:r w:rsidR="00000F90" w:rsidRPr="00AF74F9">
        <w:rPr>
          <w:noProof/>
          <w:color w:val="auto"/>
        </w:rPr>
        <w:fldChar w:fldCharType="end"/>
      </w:r>
      <w:bookmarkEnd w:id="132"/>
      <w:r w:rsidRPr="00AF74F9">
        <w:rPr>
          <w:color w:val="auto"/>
        </w:rPr>
        <w:t>. Number of millers in the UK by employment size band</w:t>
      </w:r>
      <w:r w:rsidR="003A36DC" w:rsidRPr="00AF74F9">
        <w:rPr>
          <w:color w:val="auto"/>
        </w:rPr>
        <w:t>, 2022</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828"/>
        <w:gridCol w:w="2959"/>
        <w:gridCol w:w="2959"/>
      </w:tblGrid>
      <w:tr w:rsidR="007E2933" w14:paraId="009942E7" w14:textId="523ACE61" w:rsidTr="00572C4A">
        <w:trPr>
          <w:trHeight w:val="102"/>
        </w:trPr>
        <w:tc>
          <w:tcPr>
            <w:tcW w:w="1964" w:type="pct"/>
            <w:tcBorders>
              <w:top w:val="single" w:sz="4" w:space="0" w:color="auto"/>
              <w:bottom w:val="single" w:sz="4" w:space="0" w:color="auto"/>
            </w:tcBorders>
          </w:tcPr>
          <w:p w14:paraId="514BA479" w14:textId="166C646D" w:rsidR="007E2933" w:rsidRPr="003A2698" w:rsidRDefault="003A2698" w:rsidP="00100744">
            <w:pPr>
              <w:rPr>
                <w:b/>
                <w:bCs/>
              </w:rPr>
            </w:pPr>
            <w:r w:rsidRPr="003A2698">
              <w:rPr>
                <w:b/>
                <w:bCs/>
              </w:rPr>
              <w:t>Employment size band</w:t>
            </w:r>
          </w:p>
        </w:tc>
        <w:tc>
          <w:tcPr>
            <w:tcW w:w="1518" w:type="pct"/>
            <w:tcBorders>
              <w:top w:val="single" w:sz="4" w:space="0" w:color="auto"/>
              <w:bottom w:val="single" w:sz="4" w:space="0" w:color="auto"/>
            </w:tcBorders>
          </w:tcPr>
          <w:p w14:paraId="5DF192DE" w14:textId="739812AD" w:rsidR="007E2933" w:rsidRPr="007E2933" w:rsidRDefault="003A2698" w:rsidP="00100744">
            <w:pPr>
              <w:rPr>
                <w:b/>
                <w:bCs/>
              </w:rPr>
            </w:pPr>
            <w:r>
              <w:rPr>
                <w:b/>
                <w:bCs/>
              </w:rPr>
              <w:t xml:space="preserve">Number of millers in </w:t>
            </w:r>
            <w:r w:rsidR="007E2933" w:rsidRPr="007E2933">
              <w:rPr>
                <w:b/>
                <w:bCs/>
              </w:rPr>
              <w:t>Scotland</w:t>
            </w:r>
          </w:p>
        </w:tc>
        <w:tc>
          <w:tcPr>
            <w:tcW w:w="1518" w:type="pct"/>
            <w:tcBorders>
              <w:top w:val="single" w:sz="4" w:space="0" w:color="auto"/>
              <w:bottom w:val="single" w:sz="4" w:space="0" w:color="auto"/>
            </w:tcBorders>
          </w:tcPr>
          <w:p w14:paraId="350C4EBC" w14:textId="5914BE8F" w:rsidR="007E2933" w:rsidRPr="007E2933" w:rsidRDefault="003A2698" w:rsidP="00100744">
            <w:pPr>
              <w:rPr>
                <w:b/>
                <w:bCs/>
              </w:rPr>
            </w:pPr>
            <w:r>
              <w:rPr>
                <w:b/>
                <w:bCs/>
              </w:rPr>
              <w:t xml:space="preserve">Number of millers in the </w:t>
            </w:r>
            <w:r w:rsidR="007E2933" w:rsidRPr="007E2933">
              <w:rPr>
                <w:b/>
                <w:bCs/>
              </w:rPr>
              <w:t>United Kingdom</w:t>
            </w:r>
          </w:p>
        </w:tc>
      </w:tr>
      <w:tr w:rsidR="003A2698" w14:paraId="0C4E2FB8" w14:textId="20A48398" w:rsidTr="00572C4A">
        <w:tc>
          <w:tcPr>
            <w:tcW w:w="1964" w:type="pct"/>
            <w:tcBorders>
              <w:top w:val="single" w:sz="4" w:space="0" w:color="auto"/>
            </w:tcBorders>
          </w:tcPr>
          <w:p w14:paraId="12A84660" w14:textId="0A5B081D" w:rsidR="003A2698" w:rsidRDefault="003A2698" w:rsidP="003A2698">
            <w:r w:rsidRPr="00924D52">
              <w:t>0 to 9</w:t>
            </w:r>
          </w:p>
        </w:tc>
        <w:tc>
          <w:tcPr>
            <w:tcW w:w="1518" w:type="pct"/>
            <w:tcBorders>
              <w:top w:val="single" w:sz="4" w:space="0" w:color="auto"/>
            </w:tcBorders>
          </w:tcPr>
          <w:p w14:paraId="5CA09C07" w14:textId="40EEB8B2" w:rsidR="003A2698" w:rsidRDefault="00FB659F" w:rsidP="003A2698">
            <w:r>
              <w:t>5</w:t>
            </w:r>
          </w:p>
        </w:tc>
        <w:tc>
          <w:tcPr>
            <w:tcW w:w="1518" w:type="pct"/>
            <w:tcBorders>
              <w:top w:val="single" w:sz="4" w:space="0" w:color="auto"/>
            </w:tcBorders>
          </w:tcPr>
          <w:p w14:paraId="625915BD" w14:textId="01121602" w:rsidR="003A2698" w:rsidRDefault="00B66BBE" w:rsidP="003A2698">
            <w:r>
              <w:t>50</w:t>
            </w:r>
          </w:p>
        </w:tc>
      </w:tr>
      <w:tr w:rsidR="003A2698" w14:paraId="1EFB68D6" w14:textId="778C8F06" w:rsidTr="00572C4A">
        <w:tc>
          <w:tcPr>
            <w:tcW w:w="1964" w:type="pct"/>
          </w:tcPr>
          <w:p w14:paraId="2E894CF5" w14:textId="774286A8" w:rsidR="003A2698" w:rsidRDefault="003A2698" w:rsidP="003A2698">
            <w:r w:rsidRPr="00924D52">
              <w:t>10 to 49</w:t>
            </w:r>
          </w:p>
        </w:tc>
        <w:tc>
          <w:tcPr>
            <w:tcW w:w="1518" w:type="pct"/>
          </w:tcPr>
          <w:p w14:paraId="645A25CC" w14:textId="21306121" w:rsidR="003A2698" w:rsidRDefault="00FB659F" w:rsidP="003A2698">
            <w:r>
              <w:t>0</w:t>
            </w:r>
          </w:p>
        </w:tc>
        <w:tc>
          <w:tcPr>
            <w:tcW w:w="1518" w:type="pct"/>
          </w:tcPr>
          <w:p w14:paraId="6657CCF1" w14:textId="75ACA02D" w:rsidR="003A2698" w:rsidRDefault="00B66BBE" w:rsidP="003A2698">
            <w:r>
              <w:t>15</w:t>
            </w:r>
          </w:p>
        </w:tc>
      </w:tr>
      <w:tr w:rsidR="003A2698" w14:paraId="35F91A41" w14:textId="064972C0" w:rsidTr="00572C4A">
        <w:tc>
          <w:tcPr>
            <w:tcW w:w="1964" w:type="pct"/>
          </w:tcPr>
          <w:p w14:paraId="2DF19E3A" w14:textId="45F91CC6" w:rsidR="003A2698" w:rsidRDefault="003A2698" w:rsidP="003A2698">
            <w:r w:rsidRPr="00924D52">
              <w:t>50 to 249</w:t>
            </w:r>
          </w:p>
        </w:tc>
        <w:tc>
          <w:tcPr>
            <w:tcW w:w="1518" w:type="pct"/>
          </w:tcPr>
          <w:p w14:paraId="294FF1A9" w14:textId="580AE802" w:rsidR="003A2698" w:rsidRDefault="00FB659F" w:rsidP="003A2698">
            <w:r>
              <w:t>0</w:t>
            </w:r>
          </w:p>
        </w:tc>
        <w:tc>
          <w:tcPr>
            <w:tcW w:w="1518" w:type="pct"/>
          </w:tcPr>
          <w:p w14:paraId="4AC3DEA8" w14:textId="1586505F" w:rsidR="003A2698" w:rsidRDefault="00B66BBE" w:rsidP="003A2698">
            <w:r>
              <w:t>15</w:t>
            </w:r>
          </w:p>
        </w:tc>
      </w:tr>
      <w:tr w:rsidR="003A2698" w14:paraId="3AAD5B4B" w14:textId="0D24DF5E" w:rsidTr="00572C4A">
        <w:tc>
          <w:tcPr>
            <w:tcW w:w="1964" w:type="pct"/>
          </w:tcPr>
          <w:p w14:paraId="0BD59500" w14:textId="35649016" w:rsidR="003A2698" w:rsidRDefault="003A2698" w:rsidP="003A2698">
            <w:r w:rsidRPr="00924D52">
              <w:t>250</w:t>
            </w:r>
            <w:r w:rsidR="00414FCD">
              <w:t xml:space="preserve"> to </w:t>
            </w:r>
            <w:r>
              <w:t>499</w:t>
            </w:r>
          </w:p>
        </w:tc>
        <w:tc>
          <w:tcPr>
            <w:tcW w:w="1518" w:type="pct"/>
          </w:tcPr>
          <w:p w14:paraId="1BC1D201" w14:textId="35737755" w:rsidR="003A2698" w:rsidRDefault="00FB659F" w:rsidP="003A2698">
            <w:r>
              <w:t>0</w:t>
            </w:r>
          </w:p>
        </w:tc>
        <w:tc>
          <w:tcPr>
            <w:tcW w:w="1518" w:type="pct"/>
          </w:tcPr>
          <w:p w14:paraId="5A99D58A" w14:textId="5CC609E0" w:rsidR="003A2698" w:rsidRDefault="00B66BBE" w:rsidP="003A2698">
            <w:r>
              <w:t>5</w:t>
            </w:r>
          </w:p>
        </w:tc>
      </w:tr>
      <w:tr w:rsidR="003A2698" w14:paraId="12418FD5" w14:textId="736482DA" w:rsidTr="00572C4A">
        <w:tc>
          <w:tcPr>
            <w:tcW w:w="1964" w:type="pct"/>
            <w:tcBorders>
              <w:bottom w:val="nil"/>
            </w:tcBorders>
          </w:tcPr>
          <w:p w14:paraId="754C6D0F" w14:textId="2D864154" w:rsidR="003A2698" w:rsidRDefault="003A2698" w:rsidP="003A2698">
            <w:r w:rsidRPr="00924D52">
              <w:t>500 to 999</w:t>
            </w:r>
          </w:p>
        </w:tc>
        <w:tc>
          <w:tcPr>
            <w:tcW w:w="1518" w:type="pct"/>
            <w:tcBorders>
              <w:bottom w:val="nil"/>
            </w:tcBorders>
          </w:tcPr>
          <w:p w14:paraId="1000D55C" w14:textId="29B5D338" w:rsidR="003A2698" w:rsidRDefault="00FB659F" w:rsidP="003A2698">
            <w:r>
              <w:t>0</w:t>
            </w:r>
          </w:p>
        </w:tc>
        <w:tc>
          <w:tcPr>
            <w:tcW w:w="1518" w:type="pct"/>
            <w:tcBorders>
              <w:bottom w:val="nil"/>
            </w:tcBorders>
          </w:tcPr>
          <w:p w14:paraId="71FCDA3B" w14:textId="3475CD83" w:rsidR="003A2698" w:rsidRDefault="00B66BBE" w:rsidP="003A2698">
            <w:r>
              <w:t>0</w:t>
            </w:r>
          </w:p>
        </w:tc>
      </w:tr>
      <w:tr w:rsidR="003A2698" w14:paraId="75337464" w14:textId="6F8C6C08" w:rsidTr="00572C4A">
        <w:tc>
          <w:tcPr>
            <w:tcW w:w="1964" w:type="pct"/>
            <w:tcBorders>
              <w:top w:val="nil"/>
              <w:bottom w:val="single" w:sz="4" w:space="0" w:color="auto"/>
            </w:tcBorders>
          </w:tcPr>
          <w:p w14:paraId="6227F2A3" w14:textId="4C57746D" w:rsidR="003A2698" w:rsidRDefault="003A2698" w:rsidP="003A2698">
            <w:r>
              <w:t>1,000+</w:t>
            </w:r>
          </w:p>
        </w:tc>
        <w:tc>
          <w:tcPr>
            <w:tcW w:w="1518" w:type="pct"/>
            <w:tcBorders>
              <w:top w:val="nil"/>
              <w:bottom w:val="single" w:sz="4" w:space="0" w:color="auto"/>
            </w:tcBorders>
          </w:tcPr>
          <w:p w14:paraId="31944A02" w14:textId="3F74CEEE" w:rsidR="003A2698" w:rsidRDefault="00FB659F" w:rsidP="003A2698">
            <w:r>
              <w:t>0</w:t>
            </w:r>
          </w:p>
        </w:tc>
        <w:tc>
          <w:tcPr>
            <w:tcW w:w="1518" w:type="pct"/>
            <w:tcBorders>
              <w:top w:val="nil"/>
              <w:bottom w:val="single" w:sz="4" w:space="0" w:color="auto"/>
            </w:tcBorders>
          </w:tcPr>
          <w:p w14:paraId="79195149" w14:textId="2659ED16" w:rsidR="003A2698" w:rsidRDefault="00B66BBE" w:rsidP="003A2698">
            <w:r>
              <w:t>0</w:t>
            </w:r>
          </w:p>
        </w:tc>
      </w:tr>
      <w:tr w:rsidR="003A2698" w14:paraId="5CB1139E" w14:textId="77777777" w:rsidTr="00572C4A">
        <w:tc>
          <w:tcPr>
            <w:tcW w:w="1964" w:type="pct"/>
            <w:tcBorders>
              <w:top w:val="single" w:sz="4" w:space="0" w:color="auto"/>
            </w:tcBorders>
          </w:tcPr>
          <w:p w14:paraId="1F9DDFDA" w14:textId="4CBA260E" w:rsidR="003A2698" w:rsidRPr="003A2698" w:rsidRDefault="003A2698" w:rsidP="003A2698">
            <w:pPr>
              <w:rPr>
                <w:b/>
                <w:bCs/>
              </w:rPr>
            </w:pPr>
            <w:r w:rsidRPr="003A2698">
              <w:rPr>
                <w:b/>
                <w:bCs/>
              </w:rPr>
              <w:t>Total</w:t>
            </w:r>
          </w:p>
        </w:tc>
        <w:tc>
          <w:tcPr>
            <w:tcW w:w="1518" w:type="pct"/>
            <w:tcBorders>
              <w:top w:val="single" w:sz="4" w:space="0" w:color="auto"/>
            </w:tcBorders>
          </w:tcPr>
          <w:p w14:paraId="06A175C1" w14:textId="6F51EB5A" w:rsidR="003A2698" w:rsidRPr="003A2698" w:rsidRDefault="002D6A94" w:rsidP="003A2698">
            <w:pPr>
              <w:rPr>
                <w:b/>
                <w:bCs/>
              </w:rPr>
            </w:pPr>
            <w:r>
              <w:rPr>
                <w:b/>
                <w:bCs/>
              </w:rPr>
              <w:t>5</w:t>
            </w:r>
          </w:p>
        </w:tc>
        <w:tc>
          <w:tcPr>
            <w:tcW w:w="1518" w:type="pct"/>
            <w:tcBorders>
              <w:top w:val="single" w:sz="4" w:space="0" w:color="auto"/>
            </w:tcBorders>
          </w:tcPr>
          <w:p w14:paraId="7B2F327E" w14:textId="17C206FE" w:rsidR="003A2698" w:rsidRPr="003A2698" w:rsidRDefault="002D6A94" w:rsidP="003A2698">
            <w:pPr>
              <w:rPr>
                <w:b/>
                <w:bCs/>
              </w:rPr>
            </w:pPr>
            <w:r>
              <w:rPr>
                <w:b/>
                <w:bCs/>
              </w:rPr>
              <w:t>85</w:t>
            </w:r>
          </w:p>
        </w:tc>
      </w:tr>
    </w:tbl>
    <w:p w14:paraId="1D99FADC" w14:textId="3D80F8EE" w:rsidR="007E2933" w:rsidRPr="00572C4A" w:rsidRDefault="002D6A94" w:rsidP="00572C4A">
      <w:pPr>
        <w:jc w:val="right"/>
        <w:rPr>
          <w:sz w:val="20"/>
          <w:szCs w:val="20"/>
        </w:rPr>
      </w:pPr>
      <w:r w:rsidRPr="00572C4A">
        <w:rPr>
          <w:sz w:val="20"/>
          <w:szCs w:val="20"/>
        </w:rPr>
        <w:t>Source: ONS IDBR 2022 data, figures rounded to nearest five thousand (or zero).</w:t>
      </w:r>
    </w:p>
    <w:p w14:paraId="474A1E10" w14:textId="77777777" w:rsidR="007E2933" w:rsidRDefault="007E2933" w:rsidP="00A70924"/>
    <w:p w14:paraId="7AA69B19" w14:textId="77777777" w:rsidR="00762163" w:rsidRDefault="00762163" w:rsidP="00A70924"/>
    <w:p w14:paraId="5F894F78" w14:textId="77777777" w:rsidR="00762163" w:rsidRDefault="00762163" w:rsidP="00A70924"/>
    <w:p w14:paraId="610A42B4" w14:textId="77777777" w:rsidR="00762163" w:rsidRDefault="00762163" w:rsidP="00A70924"/>
    <w:p w14:paraId="65F46797" w14:textId="77777777" w:rsidR="00762163" w:rsidRDefault="00762163" w:rsidP="00A70924"/>
    <w:p w14:paraId="16A58F53" w14:textId="77777777" w:rsidR="00762163" w:rsidRDefault="00762163" w:rsidP="00A70924"/>
    <w:p w14:paraId="60FABC51" w14:textId="77777777" w:rsidR="00762163" w:rsidRDefault="00762163" w:rsidP="00A70924"/>
    <w:p w14:paraId="2EE101B0" w14:textId="77777777" w:rsidR="00762163" w:rsidRDefault="00762163" w:rsidP="00A70924"/>
    <w:p w14:paraId="720892D9" w14:textId="77777777" w:rsidR="00762163" w:rsidRDefault="00762163" w:rsidP="00A70924"/>
    <w:p w14:paraId="048438EC" w14:textId="77777777" w:rsidR="00762163" w:rsidRDefault="00762163" w:rsidP="00A70924"/>
    <w:p w14:paraId="0C6D4E7F" w14:textId="77777777" w:rsidR="00762163" w:rsidRDefault="00762163" w:rsidP="00A70924"/>
    <w:p w14:paraId="5051772A" w14:textId="77777777" w:rsidR="00762163" w:rsidRDefault="00762163" w:rsidP="00A70924"/>
    <w:p w14:paraId="7211B60A" w14:textId="5869077F" w:rsidR="00B04FA5" w:rsidRDefault="00C624DC" w:rsidP="00A70924">
      <w:r w:rsidRPr="00B8743D">
        <w:t xml:space="preserve">We use </w:t>
      </w:r>
      <w:r w:rsidRPr="003C750A">
        <w:t>this range to construct our low to high estimates</w:t>
      </w:r>
      <w:r w:rsidR="00907B01" w:rsidRPr="003C750A">
        <w:t xml:space="preserve">, and assume there are no </w:t>
      </w:r>
      <w:r w:rsidR="006454B1" w:rsidRPr="003C750A">
        <w:t xml:space="preserve">millers with </w:t>
      </w:r>
      <w:r w:rsidR="00CE1A95" w:rsidRPr="003C750A">
        <w:t>250 employees or more in Scotland</w:t>
      </w:r>
      <w:r w:rsidR="0068275B" w:rsidRPr="003C750A">
        <w:t xml:space="preserve"> (A2</w:t>
      </w:r>
      <w:r w:rsidR="00950CA1">
        <w:t>9</w:t>
      </w:r>
      <w:r w:rsidR="0068275B" w:rsidRPr="003C750A">
        <w:t>)</w:t>
      </w:r>
      <w:r w:rsidRPr="003C750A">
        <w:t>.</w:t>
      </w:r>
      <w:r w:rsidR="00CE5284" w:rsidRPr="003C750A">
        <w:t xml:space="preserve"> Multiplying the cost per miller gives us total industry costs:</w:t>
      </w:r>
    </w:p>
    <w:p w14:paraId="3F5283ED" w14:textId="77777777" w:rsidR="00CE5284" w:rsidRPr="00AF74F9" w:rsidRDefault="00CE5284" w:rsidP="00A70924"/>
    <w:p w14:paraId="5F9F8582" w14:textId="07B4566B" w:rsidR="00000B15" w:rsidRPr="00AF74F9" w:rsidRDefault="00000B15" w:rsidP="00000B15">
      <w:pPr>
        <w:pStyle w:val="Caption"/>
        <w:keepNext/>
        <w:rPr>
          <w:color w:val="auto"/>
        </w:rPr>
      </w:pPr>
      <w:bookmarkStart w:id="133" w:name="_Ref164929708"/>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26</w:t>
      </w:r>
      <w:r w:rsidR="00000F90" w:rsidRPr="00AF74F9">
        <w:rPr>
          <w:noProof/>
          <w:color w:val="auto"/>
        </w:rPr>
        <w:fldChar w:fldCharType="end"/>
      </w:r>
      <w:bookmarkEnd w:id="133"/>
      <w:r w:rsidRPr="00AF74F9">
        <w:rPr>
          <w:color w:val="auto"/>
        </w:rPr>
        <w:t>. Estimated total familiarisation cost in Scotland</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77"/>
        <w:gridCol w:w="1705"/>
        <w:gridCol w:w="1706"/>
        <w:gridCol w:w="1706"/>
        <w:gridCol w:w="1809"/>
        <w:gridCol w:w="1743"/>
      </w:tblGrid>
      <w:tr w:rsidR="008D4E95" w14:paraId="10EEB84B" w14:textId="77777777" w:rsidTr="008D4E95">
        <w:trPr>
          <w:trHeight w:val="123"/>
        </w:trPr>
        <w:tc>
          <w:tcPr>
            <w:tcW w:w="553" w:type="pct"/>
            <w:tcBorders>
              <w:bottom w:val="nil"/>
            </w:tcBorders>
          </w:tcPr>
          <w:p w14:paraId="3FACFAFE" w14:textId="77777777" w:rsidR="008D4E95" w:rsidRDefault="008D4E95" w:rsidP="008D4E95">
            <w:pPr>
              <w:rPr>
                <w:sz w:val="20"/>
                <w:szCs w:val="20"/>
              </w:rPr>
            </w:pPr>
          </w:p>
        </w:tc>
        <w:tc>
          <w:tcPr>
            <w:tcW w:w="2625" w:type="pct"/>
            <w:gridSpan w:val="3"/>
            <w:tcBorders>
              <w:bottom w:val="nil"/>
            </w:tcBorders>
          </w:tcPr>
          <w:p w14:paraId="3BA5F61D" w14:textId="53924046" w:rsidR="008D4E95" w:rsidRDefault="008D4E95" w:rsidP="008D4E95">
            <w:pPr>
              <w:rPr>
                <w:b/>
                <w:bCs/>
              </w:rPr>
            </w:pPr>
            <w:r w:rsidRPr="000F64FE">
              <w:rPr>
                <w:b/>
                <w:bCs/>
              </w:rPr>
              <w:t>Number of grain millers</w:t>
            </w:r>
          </w:p>
        </w:tc>
        <w:tc>
          <w:tcPr>
            <w:tcW w:w="928" w:type="pct"/>
            <w:tcBorders>
              <w:bottom w:val="nil"/>
            </w:tcBorders>
          </w:tcPr>
          <w:p w14:paraId="466082AE" w14:textId="645212BE" w:rsidR="008D4E95" w:rsidRPr="000F64FE" w:rsidRDefault="008D4E95" w:rsidP="008D4E95">
            <w:pPr>
              <w:rPr>
                <w:b/>
                <w:bCs/>
              </w:rPr>
            </w:pPr>
            <w:r>
              <w:rPr>
                <w:b/>
                <w:bCs/>
              </w:rPr>
              <w:t>Familiarisation c</w:t>
            </w:r>
            <w:r w:rsidRPr="000F64FE">
              <w:rPr>
                <w:b/>
                <w:bCs/>
              </w:rPr>
              <w:t xml:space="preserve">ost per miller </w:t>
            </w:r>
          </w:p>
        </w:tc>
        <w:tc>
          <w:tcPr>
            <w:tcW w:w="894" w:type="pct"/>
            <w:tcBorders>
              <w:bottom w:val="nil"/>
            </w:tcBorders>
          </w:tcPr>
          <w:p w14:paraId="7F821E21" w14:textId="1453D7E2" w:rsidR="008D4E95" w:rsidRPr="000F64FE" w:rsidRDefault="008D4E95" w:rsidP="008D4E95">
            <w:pPr>
              <w:rPr>
                <w:b/>
                <w:bCs/>
              </w:rPr>
            </w:pPr>
            <w:r w:rsidRPr="000F64FE">
              <w:rPr>
                <w:b/>
                <w:bCs/>
              </w:rPr>
              <w:t xml:space="preserve">Total </w:t>
            </w:r>
            <w:r>
              <w:rPr>
                <w:b/>
                <w:bCs/>
              </w:rPr>
              <w:t xml:space="preserve">familiarisation </w:t>
            </w:r>
            <w:r w:rsidRPr="000F64FE">
              <w:rPr>
                <w:b/>
                <w:bCs/>
              </w:rPr>
              <w:t>cost</w:t>
            </w:r>
          </w:p>
        </w:tc>
      </w:tr>
      <w:tr w:rsidR="00E23B85" w14:paraId="57180874" w14:textId="77777777" w:rsidTr="008D4E95">
        <w:trPr>
          <w:trHeight w:val="102"/>
        </w:trPr>
        <w:tc>
          <w:tcPr>
            <w:tcW w:w="553" w:type="pct"/>
            <w:tcBorders>
              <w:top w:val="nil"/>
              <w:bottom w:val="single" w:sz="4" w:space="0" w:color="auto"/>
            </w:tcBorders>
          </w:tcPr>
          <w:p w14:paraId="1446C06C" w14:textId="77777777" w:rsidR="00E23B85" w:rsidRDefault="00E23B85" w:rsidP="008D4E95"/>
        </w:tc>
        <w:tc>
          <w:tcPr>
            <w:tcW w:w="875" w:type="pct"/>
            <w:tcBorders>
              <w:top w:val="nil"/>
              <w:bottom w:val="single" w:sz="4" w:space="0" w:color="auto"/>
            </w:tcBorders>
          </w:tcPr>
          <w:p w14:paraId="7950AE52" w14:textId="4D766635" w:rsidR="00E23B85" w:rsidRPr="00523CEE" w:rsidRDefault="008D4E95" w:rsidP="008D4E95">
            <w:pPr>
              <w:rPr>
                <w:sz w:val="20"/>
                <w:szCs w:val="20"/>
              </w:rPr>
            </w:pPr>
            <w:r>
              <w:rPr>
                <w:sz w:val="20"/>
                <w:szCs w:val="20"/>
              </w:rPr>
              <w:t>Micro</w:t>
            </w:r>
            <w:r w:rsidR="00884A6C">
              <w:rPr>
                <w:sz w:val="20"/>
                <w:szCs w:val="20"/>
              </w:rPr>
              <w:t xml:space="preserve"> (0-9 empl.)</w:t>
            </w:r>
          </w:p>
        </w:tc>
        <w:tc>
          <w:tcPr>
            <w:tcW w:w="875" w:type="pct"/>
            <w:tcBorders>
              <w:top w:val="nil"/>
              <w:bottom w:val="single" w:sz="4" w:space="0" w:color="auto"/>
            </w:tcBorders>
          </w:tcPr>
          <w:p w14:paraId="30B7297A" w14:textId="78A3C3C4" w:rsidR="00E23B85" w:rsidRPr="00523CEE" w:rsidRDefault="008D4E95" w:rsidP="008D4E95">
            <w:pPr>
              <w:rPr>
                <w:sz w:val="20"/>
                <w:szCs w:val="20"/>
              </w:rPr>
            </w:pPr>
            <w:r>
              <w:rPr>
                <w:sz w:val="20"/>
                <w:szCs w:val="20"/>
              </w:rPr>
              <w:t>Small</w:t>
            </w:r>
            <w:r w:rsidR="00884A6C">
              <w:rPr>
                <w:sz w:val="20"/>
                <w:szCs w:val="20"/>
              </w:rPr>
              <w:t xml:space="preserve"> (10-49)</w:t>
            </w:r>
          </w:p>
        </w:tc>
        <w:tc>
          <w:tcPr>
            <w:tcW w:w="875" w:type="pct"/>
            <w:tcBorders>
              <w:top w:val="nil"/>
              <w:bottom w:val="single" w:sz="4" w:space="0" w:color="auto"/>
            </w:tcBorders>
          </w:tcPr>
          <w:p w14:paraId="0A760D7B" w14:textId="0683EA49" w:rsidR="00E23B85" w:rsidRPr="00523CEE" w:rsidRDefault="008D4E95" w:rsidP="008D4E95">
            <w:pPr>
              <w:rPr>
                <w:sz w:val="20"/>
                <w:szCs w:val="20"/>
              </w:rPr>
            </w:pPr>
            <w:r>
              <w:rPr>
                <w:sz w:val="20"/>
                <w:szCs w:val="20"/>
              </w:rPr>
              <w:t>Medium</w:t>
            </w:r>
            <w:r w:rsidR="00884A6C">
              <w:rPr>
                <w:sz w:val="20"/>
                <w:szCs w:val="20"/>
              </w:rPr>
              <w:t xml:space="preserve"> (50-249)</w:t>
            </w:r>
          </w:p>
        </w:tc>
        <w:tc>
          <w:tcPr>
            <w:tcW w:w="928" w:type="pct"/>
            <w:tcBorders>
              <w:top w:val="nil"/>
              <w:bottom w:val="single" w:sz="4" w:space="0" w:color="auto"/>
            </w:tcBorders>
          </w:tcPr>
          <w:p w14:paraId="273C7DBF" w14:textId="3F1A99F3" w:rsidR="00E23B85" w:rsidRPr="0034273E" w:rsidRDefault="00E23B85" w:rsidP="008D4E95">
            <w:pPr>
              <w:rPr>
                <w:sz w:val="20"/>
                <w:szCs w:val="20"/>
              </w:rPr>
            </w:pPr>
            <w:r w:rsidRPr="0034273E">
              <w:rPr>
                <w:sz w:val="20"/>
                <w:szCs w:val="20"/>
              </w:rPr>
              <w:t xml:space="preserve">£ </w:t>
            </w:r>
            <w:r w:rsidR="001648B3" w:rsidRPr="0034273E">
              <w:rPr>
                <w:sz w:val="20"/>
                <w:szCs w:val="20"/>
              </w:rPr>
              <w:t>2024</w:t>
            </w:r>
          </w:p>
        </w:tc>
        <w:tc>
          <w:tcPr>
            <w:tcW w:w="894" w:type="pct"/>
            <w:tcBorders>
              <w:top w:val="nil"/>
              <w:bottom w:val="single" w:sz="4" w:space="0" w:color="auto"/>
            </w:tcBorders>
          </w:tcPr>
          <w:p w14:paraId="56B0C8E6" w14:textId="268E2FC9" w:rsidR="00E23B85" w:rsidRPr="0034273E" w:rsidRDefault="00E23B85" w:rsidP="008D4E95">
            <w:pPr>
              <w:rPr>
                <w:sz w:val="20"/>
                <w:szCs w:val="20"/>
              </w:rPr>
            </w:pPr>
            <w:r w:rsidRPr="0034273E">
              <w:rPr>
                <w:sz w:val="20"/>
                <w:szCs w:val="20"/>
              </w:rPr>
              <w:t xml:space="preserve">£ </w:t>
            </w:r>
            <w:r w:rsidR="0034273E" w:rsidRPr="0034273E">
              <w:rPr>
                <w:sz w:val="20"/>
                <w:szCs w:val="20"/>
              </w:rPr>
              <w:t>2024</w:t>
            </w:r>
          </w:p>
        </w:tc>
      </w:tr>
      <w:tr w:rsidR="001648B3" w14:paraId="3D104290" w14:textId="77777777" w:rsidTr="008D4E95">
        <w:tc>
          <w:tcPr>
            <w:tcW w:w="553" w:type="pct"/>
            <w:tcBorders>
              <w:top w:val="single" w:sz="4" w:space="0" w:color="auto"/>
            </w:tcBorders>
          </w:tcPr>
          <w:p w14:paraId="3120DE61" w14:textId="77777777" w:rsidR="001648B3" w:rsidRDefault="001648B3" w:rsidP="001648B3">
            <w:r>
              <w:t>Low</w:t>
            </w:r>
          </w:p>
        </w:tc>
        <w:tc>
          <w:tcPr>
            <w:tcW w:w="875" w:type="pct"/>
            <w:tcBorders>
              <w:top w:val="single" w:sz="4" w:space="0" w:color="auto"/>
            </w:tcBorders>
          </w:tcPr>
          <w:p w14:paraId="54FFED81" w14:textId="7CB460E3" w:rsidR="001648B3" w:rsidRDefault="001648B3" w:rsidP="001648B3">
            <w:r>
              <w:t>3</w:t>
            </w:r>
          </w:p>
        </w:tc>
        <w:tc>
          <w:tcPr>
            <w:tcW w:w="875" w:type="pct"/>
            <w:tcBorders>
              <w:top w:val="single" w:sz="4" w:space="0" w:color="auto"/>
            </w:tcBorders>
          </w:tcPr>
          <w:p w14:paraId="443815DA" w14:textId="693A2AE7" w:rsidR="001648B3" w:rsidRDefault="001648B3" w:rsidP="001648B3">
            <w:r>
              <w:t>2</w:t>
            </w:r>
          </w:p>
        </w:tc>
        <w:tc>
          <w:tcPr>
            <w:tcW w:w="875" w:type="pct"/>
            <w:tcBorders>
              <w:top w:val="single" w:sz="4" w:space="0" w:color="auto"/>
            </w:tcBorders>
          </w:tcPr>
          <w:p w14:paraId="01DA6507" w14:textId="0D4BEC41" w:rsidR="001648B3" w:rsidRDefault="001648B3" w:rsidP="001648B3">
            <w:r>
              <w:t>0</w:t>
            </w:r>
          </w:p>
        </w:tc>
        <w:tc>
          <w:tcPr>
            <w:tcW w:w="928" w:type="pct"/>
            <w:tcBorders>
              <w:top w:val="single" w:sz="4" w:space="0" w:color="auto"/>
            </w:tcBorders>
          </w:tcPr>
          <w:p w14:paraId="79474587" w14:textId="3F611CFA" w:rsidR="001648B3" w:rsidRDefault="001648B3" w:rsidP="001648B3">
            <w:r>
              <w:t>113.57</w:t>
            </w:r>
          </w:p>
        </w:tc>
        <w:tc>
          <w:tcPr>
            <w:tcW w:w="894" w:type="pct"/>
            <w:tcBorders>
              <w:top w:val="single" w:sz="4" w:space="0" w:color="auto"/>
            </w:tcBorders>
          </w:tcPr>
          <w:p w14:paraId="3E4339D0" w14:textId="0C76C239" w:rsidR="001648B3" w:rsidRDefault="00121A0E" w:rsidP="001648B3">
            <w:r>
              <w:t>567.86</w:t>
            </w:r>
          </w:p>
        </w:tc>
      </w:tr>
      <w:tr w:rsidR="001648B3" w14:paraId="6B00A05E" w14:textId="77777777" w:rsidTr="008D4E95">
        <w:tc>
          <w:tcPr>
            <w:tcW w:w="553" w:type="pct"/>
          </w:tcPr>
          <w:p w14:paraId="33D65BB7" w14:textId="77777777" w:rsidR="001648B3" w:rsidRDefault="001648B3" w:rsidP="001648B3">
            <w:r>
              <w:t>Central</w:t>
            </w:r>
          </w:p>
        </w:tc>
        <w:tc>
          <w:tcPr>
            <w:tcW w:w="875" w:type="pct"/>
          </w:tcPr>
          <w:p w14:paraId="4189474F" w14:textId="0CF72472" w:rsidR="001648B3" w:rsidRDefault="001648B3" w:rsidP="001648B3">
            <w:r>
              <w:t>3</w:t>
            </w:r>
          </w:p>
        </w:tc>
        <w:tc>
          <w:tcPr>
            <w:tcW w:w="875" w:type="pct"/>
          </w:tcPr>
          <w:p w14:paraId="7E49F336" w14:textId="003DD95F" w:rsidR="001648B3" w:rsidRDefault="001648B3" w:rsidP="001648B3">
            <w:r>
              <w:t>2</w:t>
            </w:r>
          </w:p>
        </w:tc>
        <w:tc>
          <w:tcPr>
            <w:tcW w:w="875" w:type="pct"/>
          </w:tcPr>
          <w:p w14:paraId="7D7ACF55" w14:textId="6FCCF5F8" w:rsidR="001648B3" w:rsidRDefault="001648B3" w:rsidP="001648B3">
            <w:r>
              <w:t>1</w:t>
            </w:r>
          </w:p>
        </w:tc>
        <w:tc>
          <w:tcPr>
            <w:tcW w:w="928" w:type="pct"/>
          </w:tcPr>
          <w:p w14:paraId="4A8174A5" w14:textId="4DA84C06" w:rsidR="001648B3" w:rsidRDefault="001648B3" w:rsidP="001648B3">
            <w:r>
              <w:t>201.73</w:t>
            </w:r>
          </w:p>
        </w:tc>
        <w:tc>
          <w:tcPr>
            <w:tcW w:w="894" w:type="pct"/>
          </w:tcPr>
          <w:p w14:paraId="6364BAB3" w14:textId="06BE76B7" w:rsidR="001648B3" w:rsidRDefault="00121A0E" w:rsidP="001648B3">
            <w:r>
              <w:t>1,210.36</w:t>
            </w:r>
          </w:p>
        </w:tc>
      </w:tr>
      <w:tr w:rsidR="001648B3" w14:paraId="2327BF4C" w14:textId="77777777" w:rsidTr="008D4E95">
        <w:tc>
          <w:tcPr>
            <w:tcW w:w="553" w:type="pct"/>
          </w:tcPr>
          <w:p w14:paraId="12152A84" w14:textId="77777777" w:rsidR="001648B3" w:rsidRDefault="001648B3" w:rsidP="001648B3">
            <w:r>
              <w:t>High</w:t>
            </w:r>
          </w:p>
        </w:tc>
        <w:tc>
          <w:tcPr>
            <w:tcW w:w="875" w:type="pct"/>
          </w:tcPr>
          <w:p w14:paraId="510CC0E0" w14:textId="50DE00E9" w:rsidR="001648B3" w:rsidRDefault="001648B3" w:rsidP="001648B3">
            <w:r>
              <w:t>3</w:t>
            </w:r>
          </w:p>
        </w:tc>
        <w:tc>
          <w:tcPr>
            <w:tcW w:w="875" w:type="pct"/>
          </w:tcPr>
          <w:p w14:paraId="41C4744B" w14:textId="28D08FFF" w:rsidR="001648B3" w:rsidRDefault="001648B3" w:rsidP="001648B3">
            <w:r>
              <w:t>2</w:t>
            </w:r>
          </w:p>
        </w:tc>
        <w:tc>
          <w:tcPr>
            <w:tcW w:w="875" w:type="pct"/>
          </w:tcPr>
          <w:p w14:paraId="4471B2D3" w14:textId="477ECF92" w:rsidR="001648B3" w:rsidRDefault="001648B3" w:rsidP="001648B3">
            <w:r>
              <w:t>2</w:t>
            </w:r>
          </w:p>
        </w:tc>
        <w:tc>
          <w:tcPr>
            <w:tcW w:w="928" w:type="pct"/>
          </w:tcPr>
          <w:p w14:paraId="715030AE" w14:textId="65A3EACF" w:rsidR="001648B3" w:rsidRDefault="001648B3" w:rsidP="001648B3">
            <w:r>
              <w:t>419.10</w:t>
            </w:r>
          </w:p>
        </w:tc>
        <w:tc>
          <w:tcPr>
            <w:tcW w:w="894" w:type="pct"/>
          </w:tcPr>
          <w:p w14:paraId="2C688537" w14:textId="6CB4118A" w:rsidR="001648B3" w:rsidRDefault="00121A0E" w:rsidP="001648B3">
            <w:r>
              <w:t>2,933.69</w:t>
            </w:r>
          </w:p>
        </w:tc>
      </w:tr>
    </w:tbl>
    <w:p w14:paraId="09722877" w14:textId="77777777" w:rsidR="00CE5284" w:rsidRDefault="00CE5284" w:rsidP="00A70924"/>
    <w:p w14:paraId="1B051D0D" w14:textId="63647236" w:rsidR="00197102" w:rsidRDefault="00197102" w:rsidP="00A70924">
      <w:r w:rsidRPr="003C13F5">
        <w:t>We assume this familiarisation cost is only borne by the grain millers the first year of the new BFR regulations, with familiarisation costs being £0 for the remainder of the 10-year appraisal period (A30).</w:t>
      </w:r>
    </w:p>
    <w:p w14:paraId="5BA13173" w14:textId="77777777" w:rsidR="00CD73D0" w:rsidRDefault="00CD73D0" w:rsidP="00A70924"/>
    <w:p w14:paraId="3C498B45" w14:textId="2DE546D7" w:rsidR="00197102" w:rsidRPr="00AF74F9" w:rsidRDefault="2D556FFB" w:rsidP="007B0647">
      <w:pPr>
        <w:pStyle w:val="Heading4"/>
        <w:rPr>
          <w:color w:val="auto"/>
        </w:rPr>
      </w:pPr>
      <w:r w:rsidRPr="00AF74F9">
        <w:rPr>
          <w:color w:val="auto"/>
        </w:rPr>
        <w:t>A note on small-scale millers and Option 5’s exemption</w:t>
      </w:r>
    </w:p>
    <w:p w14:paraId="6EC0118E" w14:textId="2A2290FF" w:rsidR="00645B4C" w:rsidRPr="00197102" w:rsidRDefault="00645B4C" w:rsidP="00A70924">
      <w:r w:rsidRPr="0053733E">
        <w:t>It’s important to note that in the ‘Low’ estimate</w:t>
      </w:r>
      <w:r w:rsidR="00612B53" w:rsidRPr="0053733E">
        <w:t xml:space="preserve">, </w:t>
      </w:r>
      <w:r w:rsidR="00BE626D" w:rsidRPr="0053733E">
        <w:t>we have not assumed that there</w:t>
      </w:r>
      <w:r w:rsidR="00612B53" w:rsidRPr="0053733E">
        <w:t xml:space="preserve"> are only micro-sized millers in Scotland</w:t>
      </w:r>
      <w:r w:rsidR="00BE626D" w:rsidRPr="0053733E">
        <w:t xml:space="preserve"> (i.e. three micro-sized millers)</w:t>
      </w:r>
      <w:r w:rsidR="0078013B" w:rsidRPr="0053733E">
        <w:t xml:space="preserve">, </w:t>
      </w:r>
      <w:r w:rsidR="00BE626D" w:rsidRPr="0053733E">
        <w:t xml:space="preserve">as this would mean </w:t>
      </w:r>
      <w:r w:rsidR="0078013B" w:rsidRPr="0053733E">
        <w:t>all flour production in Scotland would be exempt</w:t>
      </w:r>
      <w:r w:rsidR="009721B7" w:rsidRPr="0053733E">
        <w:t xml:space="preserve"> from fortification</w:t>
      </w:r>
      <w:r w:rsidR="00197102">
        <w:t xml:space="preserve"> under Option 5</w:t>
      </w:r>
      <w:r w:rsidR="009721B7" w:rsidRPr="0053733E">
        <w:t xml:space="preserve">. </w:t>
      </w:r>
      <w:r w:rsidR="00EC324B" w:rsidRPr="0053733E">
        <w:t xml:space="preserve">This essentially sets all </w:t>
      </w:r>
      <w:r w:rsidR="00117C7A" w:rsidRPr="0053733E">
        <w:t xml:space="preserve">industry </w:t>
      </w:r>
      <w:r w:rsidR="0053733E" w:rsidRPr="0053733E">
        <w:t xml:space="preserve">(fortification) </w:t>
      </w:r>
      <w:r w:rsidR="00EC324B" w:rsidRPr="0053733E">
        <w:t xml:space="preserve">costs </w:t>
      </w:r>
      <w:r w:rsidR="00117C7A" w:rsidRPr="0053733E">
        <w:t>to zero</w:t>
      </w:r>
      <w:r w:rsidR="0053733E" w:rsidRPr="0053733E">
        <w:t xml:space="preserve">. If we also </w:t>
      </w:r>
      <w:r w:rsidR="00117C7A" w:rsidRPr="0053733E">
        <w:t>assume those three micro-sized millers supply the entirety of Scotland’s flour demand, there would be no fortification benefits either</w:t>
      </w:r>
      <w:r w:rsidR="0053733E" w:rsidRPr="0053733E">
        <w:t xml:space="preserve"> – which would be highly unrealistic.</w:t>
      </w:r>
      <w:r w:rsidR="003E3348" w:rsidRPr="0053733E">
        <w:t xml:space="preserve"> Instead, we have assumed a range of five to seven total millers, including three micro- and two small-sized millers in each estimate.</w:t>
      </w:r>
      <w:r w:rsidR="005B6CD6">
        <w:t xml:space="preserve"> </w:t>
      </w:r>
      <w:r w:rsidR="00BB08FD" w:rsidRPr="00197102">
        <w:t xml:space="preserve">In each estimate, it is assumed that the three micro-sized millers do not </w:t>
      </w:r>
      <w:r w:rsidR="00340FEC" w:rsidRPr="00197102">
        <w:t xml:space="preserve">account for enough </w:t>
      </w:r>
      <w:r w:rsidR="003C13F5" w:rsidRPr="00197102">
        <w:t xml:space="preserve">of the population’s </w:t>
      </w:r>
      <w:r w:rsidR="00340FEC" w:rsidRPr="00197102">
        <w:t>flour consumption</w:t>
      </w:r>
      <w:r w:rsidR="00BB08FD" w:rsidRPr="00197102">
        <w:t xml:space="preserve"> to significantly change the </w:t>
      </w:r>
      <w:r w:rsidR="00831D3C" w:rsidRPr="00197102">
        <w:t>benefits associated with increased folate intake</w:t>
      </w:r>
      <w:r w:rsidR="00D26202" w:rsidRPr="00197102">
        <w:t xml:space="preserve"> (see Option 5’s monetised benefits in Annex I)</w:t>
      </w:r>
      <w:r w:rsidR="00831D3C" w:rsidRPr="00197102">
        <w:t>.</w:t>
      </w:r>
    </w:p>
    <w:p w14:paraId="7A783E19" w14:textId="77777777" w:rsidR="00645B4C" w:rsidRDefault="00645B4C" w:rsidP="00A70924">
      <w:pPr>
        <w:rPr>
          <w:highlight w:val="yellow"/>
        </w:rPr>
      </w:pPr>
    </w:p>
    <w:p w14:paraId="5AD2BCD7" w14:textId="7AB400EA" w:rsidR="0070381B" w:rsidRDefault="746ED40B" w:rsidP="005D011F">
      <w:pPr>
        <w:pStyle w:val="Heading3"/>
      </w:pPr>
      <w:bookmarkStart w:id="134" w:name="_Ref164944066"/>
      <w:r>
        <w:t>Relabelling costs</w:t>
      </w:r>
      <w:bookmarkEnd w:id="134"/>
    </w:p>
    <w:p w14:paraId="40015473" w14:textId="2EF16E8B" w:rsidR="00905BE8" w:rsidRDefault="0070381B" w:rsidP="0070381B">
      <w:r>
        <w:t xml:space="preserve">Another transition cost for grain millers and manufacturers </w:t>
      </w:r>
      <w:r w:rsidR="000C5073">
        <w:t xml:space="preserve">of food containing grains </w:t>
      </w:r>
      <w:r>
        <w:t>is created by the need to amend the labels of products containing UK-milled non-wholemeal wheat flour to include ‘folic acid’ amongst the list of ingredients that the flour was fortified with. This would be stated in brackets after ‘flour’ on the ingredients list</w:t>
      </w:r>
      <w:r w:rsidR="00996DDA">
        <w:t>,</w:t>
      </w:r>
      <w:r>
        <w:t xml:space="preserve"> </w:t>
      </w:r>
      <w:r w:rsidR="00E156CD">
        <w:t>alongside the other fortificants.</w:t>
      </w:r>
    </w:p>
    <w:p w14:paraId="1E35B9B3" w14:textId="3C2E5C37" w:rsidR="0086459F" w:rsidRPr="00AF74F9" w:rsidRDefault="7E9CE385" w:rsidP="007B0647">
      <w:pPr>
        <w:pStyle w:val="Heading4"/>
        <w:rPr>
          <w:color w:val="auto"/>
        </w:rPr>
      </w:pPr>
      <w:r w:rsidRPr="00AF74F9">
        <w:rPr>
          <w:color w:val="auto"/>
        </w:rPr>
        <w:t>Cost of labelling change</w:t>
      </w:r>
    </w:p>
    <w:p w14:paraId="4925F04B" w14:textId="77777777" w:rsidR="00762163" w:rsidRDefault="0086459F" w:rsidP="0070381B">
      <w:r>
        <w:t>Like DHSC in their impact assessment, we use a 2010 Campden BRI study</w:t>
      </w:r>
      <w:r w:rsidR="0038283F">
        <w:t xml:space="preserve"> (</w:t>
      </w:r>
      <w:hyperlink r:id="rId40" w:history="1">
        <w:r w:rsidR="0038283F" w:rsidRPr="00AF74F9">
          <w:rPr>
            <w:rStyle w:val="Hyperlink"/>
            <w:rFonts w:cstheme="minorBidi"/>
            <w:color w:val="0070C0"/>
          </w:rPr>
          <w:t>Developing a framework for assessing the costs of labelling changes in the UK</w:t>
        </w:r>
      </w:hyperlink>
      <w:r w:rsidR="0038283F">
        <w:t xml:space="preserve">) </w:t>
      </w:r>
      <w:r w:rsidR="0043048D">
        <w:t xml:space="preserve">to monetise the costs of labelling changes. This study looks at the total cost of all stages of the label cycle, from familiarisation, re-design, and auditing through to printing. </w:t>
      </w:r>
      <w:r w:rsidR="005A62A1">
        <w:t xml:space="preserve">It also provides estimate based on the magnitude of change. </w:t>
      </w:r>
    </w:p>
    <w:p w14:paraId="439B2210" w14:textId="605572E7" w:rsidR="0086459F" w:rsidRDefault="005A62A1" w:rsidP="0070381B">
      <w:r>
        <w:t>It presents costs in terms of the average cost of relabelling per Stock Keeping Unit (SKU)</w:t>
      </w:r>
      <w:r w:rsidR="005664C9">
        <w:t>, which is a unique code used to identify products and track inventory.</w:t>
      </w:r>
    </w:p>
    <w:p w14:paraId="71273AB4" w14:textId="77777777" w:rsidR="00CA4C1D" w:rsidRDefault="00CA4C1D" w:rsidP="0070381B"/>
    <w:p w14:paraId="5BEDC599" w14:textId="43A14B73" w:rsidR="006934AA" w:rsidRDefault="006934AA" w:rsidP="0070381B">
      <w:r>
        <w:t xml:space="preserve">The estimated average cost per SKU is used to </w:t>
      </w:r>
      <w:r w:rsidR="00C0566A">
        <w:t>represent</w:t>
      </w:r>
      <w:r>
        <w:t xml:space="preserve"> a relabelling cost per product, and multiplied by the estimated number of products requiring relabelling. Campden BRI’s study concluded that the following costs would be incurred by businesses depending on whether the label change was ‘minor’ or ‘major’:</w:t>
      </w:r>
    </w:p>
    <w:p w14:paraId="70158A73" w14:textId="77777777" w:rsidR="006934AA" w:rsidRDefault="006934AA" w:rsidP="0070381B"/>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868"/>
        <w:gridCol w:w="4868"/>
      </w:tblGrid>
      <w:tr w:rsidR="006934AA" w14:paraId="03C20F80" w14:textId="77777777" w:rsidTr="00A7458D">
        <w:tc>
          <w:tcPr>
            <w:tcW w:w="4868" w:type="dxa"/>
            <w:tcBorders>
              <w:top w:val="single" w:sz="4" w:space="0" w:color="auto"/>
              <w:bottom w:val="nil"/>
            </w:tcBorders>
          </w:tcPr>
          <w:p w14:paraId="5DC47DE8" w14:textId="54E76CD8" w:rsidR="006934AA" w:rsidRPr="00A7458D" w:rsidRDefault="006934AA" w:rsidP="0070381B">
            <w:pPr>
              <w:rPr>
                <w:b/>
                <w:bCs/>
              </w:rPr>
            </w:pPr>
            <w:r w:rsidRPr="00A7458D">
              <w:rPr>
                <w:b/>
                <w:bCs/>
              </w:rPr>
              <w:t>Extent of change</w:t>
            </w:r>
          </w:p>
        </w:tc>
        <w:tc>
          <w:tcPr>
            <w:tcW w:w="4868" w:type="dxa"/>
            <w:tcBorders>
              <w:top w:val="single" w:sz="4" w:space="0" w:color="auto"/>
              <w:bottom w:val="nil"/>
            </w:tcBorders>
          </w:tcPr>
          <w:p w14:paraId="561F2457" w14:textId="090D8284" w:rsidR="006934AA" w:rsidRPr="00A7458D" w:rsidRDefault="006934AA" w:rsidP="0070381B">
            <w:pPr>
              <w:rPr>
                <w:b/>
                <w:bCs/>
              </w:rPr>
            </w:pPr>
            <w:r w:rsidRPr="00A7458D">
              <w:rPr>
                <w:b/>
                <w:bCs/>
              </w:rPr>
              <w:t>Average cost per SKU</w:t>
            </w:r>
          </w:p>
        </w:tc>
      </w:tr>
      <w:tr w:rsidR="00A7458D" w14:paraId="3BF76EF8" w14:textId="77777777" w:rsidTr="00A7458D">
        <w:tc>
          <w:tcPr>
            <w:tcW w:w="4868" w:type="dxa"/>
            <w:tcBorders>
              <w:bottom w:val="single" w:sz="4" w:space="0" w:color="auto"/>
            </w:tcBorders>
          </w:tcPr>
          <w:p w14:paraId="3F74EB56" w14:textId="77777777" w:rsidR="00A7458D" w:rsidRDefault="00A7458D" w:rsidP="0070381B"/>
        </w:tc>
        <w:tc>
          <w:tcPr>
            <w:tcW w:w="4868" w:type="dxa"/>
            <w:tcBorders>
              <w:bottom w:val="single" w:sz="4" w:space="0" w:color="auto"/>
            </w:tcBorders>
          </w:tcPr>
          <w:p w14:paraId="0375096E" w14:textId="4FCD2F7E" w:rsidR="00A7458D" w:rsidRDefault="00A7458D" w:rsidP="0070381B">
            <w:r w:rsidRPr="00A7458D">
              <w:rPr>
                <w:sz w:val="20"/>
                <w:szCs w:val="20"/>
              </w:rPr>
              <w:t>£ 2010</w:t>
            </w:r>
          </w:p>
        </w:tc>
      </w:tr>
      <w:tr w:rsidR="006934AA" w14:paraId="5FEEB1EA" w14:textId="77777777" w:rsidTr="00A7458D">
        <w:tc>
          <w:tcPr>
            <w:tcW w:w="4868" w:type="dxa"/>
            <w:tcBorders>
              <w:top w:val="single" w:sz="4" w:space="0" w:color="auto"/>
            </w:tcBorders>
          </w:tcPr>
          <w:p w14:paraId="46D95892" w14:textId="2027D5F2" w:rsidR="006934AA" w:rsidRDefault="00A7458D" w:rsidP="0070381B">
            <w:r>
              <w:t>Minor</w:t>
            </w:r>
          </w:p>
        </w:tc>
        <w:tc>
          <w:tcPr>
            <w:tcW w:w="4868" w:type="dxa"/>
            <w:tcBorders>
              <w:top w:val="single" w:sz="4" w:space="0" w:color="auto"/>
            </w:tcBorders>
          </w:tcPr>
          <w:p w14:paraId="1B27C649" w14:textId="017DE6D6" w:rsidR="006934AA" w:rsidRDefault="00A7458D" w:rsidP="0070381B">
            <w:r>
              <w:t>1,810</w:t>
            </w:r>
          </w:p>
        </w:tc>
      </w:tr>
      <w:tr w:rsidR="006934AA" w14:paraId="5E0FC3F5" w14:textId="77777777" w:rsidTr="00A7458D">
        <w:tc>
          <w:tcPr>
            <w:tcW w:w="4868" w:type="dxa"/>
          </w:tcPr>
          <w:p w14:paraId="632C3E37" w14:textId="27B03AF1" w:rsidR="006934AA" w:rsidRDefault="00A7458D" w:rsidP="0070381B">
            <w:r>
              <w:t>Major</w:t>
            </w:r>
          </w:p>
        </w:tc>
        <w:tc>
          <w:tcPr>
            <w:tcW w:w="4868" w:type="dxa"/>
          </w:tcPr>
          <w:p w14:paraId="335BA683" w14:textId="64353D4E" w:rsidR="006934AA" w:rsidRDefault="00A7458D" w:rsidP="0070381B">
            <w:r>
              <w:t>3,800</w:t>
            </w:r>
          </w:p>
        </w:tc>
      </w:tr>
    </w:tbl>
    <w:p w14:paraId="4AFE2E81" w14:textId="1FC1315F" w:rsidR="006934AA" w:rsidRPr="00EA6EED" w:rsidRDefault="00EA6EED" w:rsidP="00EA6EED">
      <w:pPr>
        <w:jc w:val="right"/>
        <w:rPr>
          <w:sz w:val="20"/>
          <w:szCs w:val="20"/>
        </w:rPr>
      </w:pPr>
      <w:r>
        <w:rPr>
          <w:sz w:val="20"/>
          <w:szCs w:val="20"/>
        </w:rPr>
        <w:t>Source: Campden BRI, 2010</w:t>
      </w:r>
    </w:p>
    <w:p w14:paraId="16B13BA9" w14:textId="77777777" w:rsidR="00EA17CC" w:rsidRDefault="00EA17CC" w:rsidP="00A70924"/>
    <w:p w14:paraId="144BF0D3" w14:textId="3794145D" w:rsidR="00EA6EED" w:rsidRDefault="006A657A" w:rsidP="00A70924">
      <w:r>
        <w:t xml:space="preserve">Adjusting these to </w:t>
      </w:r>
      <w:r w:rsidR="00A45CB8">
        <w:t>2024</w:t>
      </w:r>
      <w:r>
        <w:t xml:space="preserve"> prices using HMT’s GDP deflators</w:t>
      </w:r>
      <w:r w:rsidR="00C64D97">
        <w:t xml:space="preserve"> at market prices</w:t>
      </w:r>
      <w:r>
        <w:t>, we obtain:</w:t>
      </w:r>
    </w:p>
    <w:p w14:paraId="1BFF3315" w14:textId="77777777" w:rsidR="006A657A" w:rsidRDefault="006A657A" w:rsidP="00A7092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868"/>
        <w:gridCol w:w="4868"/>
      </w:tblGrid>
      <w:tr w:rsidR="006A657A" w14:paraId="1480826D" w14:textId="77777777" w:rsidTr="00100744">
        <w:tc>
          <w:tcPr>
            <w:tcW w:w="4868" w:type="dxa"/>
            <w:tcBorders>
              <w:top w:val="single" w:sz="4" w:space="0" w:color="auto"/>
              <w:bottom w:val="nil"/>
            </w:tcBorders>
          </w:tcPr>
          <w:p w14:paraId="47DB28D0" w14:textId="77777777" w:rsidR="006A657A" w:rsidRPr="00A7458D" w:rsidRDefault="006A657A" w:rsidP="00100744">
            <w:pPr>
              <w:rPr>
                <w:b/>
                <w:bCs/>
              </w:rPr>
            </w:pPr>
            <w:r w:rsidRPr="00A7458D">
              <w:rPr>
                <w:b/>
                <w:bCs/>
              </w:rPr>
              <w:t>Extent of change</w:t>
            </w:r>
          </w:p>
        </w:tc>
        <w:tc>
          <w:tcPr>
            <w:tcW w:w="4868" w:type="dxa"/>
            <w:tcBorders>
              <w:top w:val="single" w:sz="4" w:space="0" w:color="auto"/>
              <w:bottom w:val="nil"/>
            </w:tcBorders>
          </w:tcPr>
          <w:p w14:paraId="3DB99B1D" w14:textId="27B672EB" w:rsidR="006A657A" w:rsidRPr="00A7458D" w:rsidRDefault="006A657A" w:rsidP="00100744">
            <w:pPr>
              <w:rPr>
                <w:b/>
                <w:bCs/>
              </w:rPr>
            </w:pPr>
            <w:r>
              <w:rPr>
                <w:b/>
                <w:bCs/>
              </w:rPr>
              <w:t>Estimated a</w:t>
            </w:r>
            <w:r w:rsidRPr="00A7458D">
              <w:rPr>
                <w:b/>
                <w:bCs/>
              </w:rPr>
              <w:t>verage cost per SKU</w:t>
            </w:r>
          </w:p>
        </w:tc>
      </w:tr>
      <w:tr w:rsidR="006A657A" w14:paraId="720F2550" w14:textId="77777777" w:rsidTr="00100744">
        <w:tc>
          <w:tcPr>
            <w:tcW w:w="4868" w:type="dxa"/>
            <w:tcBorders>
              <w:bottom w:val="single" w:sz="4" w:space="0" w:color="auto"/>
            </w:tcBorders>
          </w:tcPr>
          <w:p w14:paraId="21184FBD" w14:textId="77777777" w:rsidR="006A657A" w:rsidRDefault="006A657A" w:rsidP="00100744"/>
        </w:tc>
        <w:tc>
          <w:tcPr>
            <w:tcW w:w="4868" w:type="dxa"/>
            <w:tcBorders>
              <w:bottom w:val="single" w:sz="4" w:space="0" w:color="auto"/>
            </w:tcBorders>
          </w:tcPr>
          <w:p w14:paraId="3CB7CBB8" w14:textId="4799148E" w:rsidR="006A657A" w:rsidRDefault="006A657A" w:rsidP="00100744">
            <w:r w:rsidRPr="00A7458D">
              <w:rPr>
                <w:sz w:val="20"/>
                <w:szCs w:val="20"/>
              </w:rPr>
              <w:t xml:space="preserve">£ </w:t>
            </w:r>
            <w:r w:rsidR="00464813">
              <w:rPr>
                <w:sz w:val="20"/>
                <w:szCs w:val="20"/>
              </w:rPr>
              <w:t>2024</w:t>
            </w:r>
          </w:p>
        </w:tc>
      </w:tr>
      <w:tr w:rsidR="006A657A" w14:paraId="07830CA8" w14:textId="77777777" w:rsidTr="00100744">
        <w:tc>
          <w:tcPr>
            <w:tcW w:w="4868" w:type="dxa"/>
            <w:tcBorders>
              <w:top w:val="single" w:sz="4" w:space="0" w:color="auto"/>
            </w:tcBorders>
          </w:tcPr>
          <w:p w14:paraId="4A17553D" w14:textId="77777777" w:rsidR="006A657A" w:rsidRDefault="006A657A" w:rsidP="00100744">
            <w:r>
              <w:t>Minor</w:t>
            </w:r>
          </w:p>
        </w:tc>
        <w:tc>
          <w:tcPr>
            <w:tcW w:w="4868" w:type="dxa"/>
            <w:tcBorders>
              <w:top w:val="single" w:sz="4" w:space="0" w:color="auto"/>
            </w:tcBorders>
          </w:tcPr>
          <w:p w14:paraId="7C2DE3A4" w14:textId="0C5F2504" w:rsidR="006A657A" w:rsidRDefault="00FF2A17" w:rsidP="00100744">
            <w:r>
              <w:t>2,</w:t>
            </w:r>
            <w:r w:rsidR="00331F32">
              <w:t>553.54</w:t>
            </w:r>
          </w:p>
        </w:tc>
      </w:tr>
      <w:tr w:rsidR="006A657A" w14:paraId="71748693" w14:textId="77777777" w:rsidTr="00100744">
        <w:tc>
          <w:tcPr>
            <w:tcW w:w="4868" w:type="dxa"/>
          </w:tcPr>
          <w:p w14:paraId="49894918" w14:textId="77777777" w:rsidR="006A657A" w:rsidRDefault="006A657A" w:rsidP="00100744">
            <w:r>
              <w:t>Major</w:t>
            </w:r>
          </w:p>
        </w:tc>
        <w:tc>
          <w:tcPr>
            <w:tcW w:w="4868" w:type="dxa"/>
          </w:tcPr>
          <w:p w14:paraId="32C6032C" w14:textId="5490A060" w:rsidR="006A657A" w:rsidRDefault="00C7177B" w:rsidP="00100744">
            <w:r>
              <w:t>5,361</w:t>
            </w:r>
            <w:r w:rsidR="00511292">
              <w:t>.02</w:t>
            </w:r>
          </w:p>
        </w:tc>
      </w:tr>
    </w:tbl>
    <w:p w14:paraId="3B4E59E3" w14:textId="77777777" w:rsidR="006A657A" w:rsidRDefault="006A657A" w:rsidP="00A70924"/>
    <w:p w14:paraId="300AF28D" w14:textId="40A51D98" w:rsidR="008F4301" w:rsidRDefault="00882C15" w:rsidP="00A70924">
      <w:r w:rsidRPr="002A6B1E">
        <w:t xml:space="preserve">We </w:t>
      </w:r>
      <w:r w:rsidR="00997E0C" w:rsidRPr="002A6B1E">
        <w:t>assume</w:t>
      </w:r>
      <w:r w:rsidRPr="002A6B1E">
        <w:t xml:space="preserve"> that adding ‘folic acid’ to the list of fortificants constitutes a ‘minor’ change</w:t>
      </w:r>
      <w:r w:rsidR="00225098" w:rsidRPr="002A6B1E">
        <w:t xml:space="preserve"> (A31)</w:t>
      </w:r>
      <w:r w:rsidR="006F7A28" w:rsidRPr="002A6B1E">
        <w:t>, which is defined by Campden BRI as “a change to the text on a single face of a label with no packaging size modification”.</w:t>
      </w:r>
    </w:p>
    <w:p w14:paraId="3406EE9B" w14:textId="3DD9CF87" w:rsidR="00104310" w:rsidRPr="00AF74F9" w:rsidRDefault="38A01218" w:rsidP="007B0647">
      <w:pPr>
        <w:pStyle w:val="Heading4"/>
        <w:rPr>
          <w:color w:val="auto"/>
        </w:rPr>
      </w:pPr>
      <w:r w:rsidRPr="00AF74F9">
        <w:rPr>
          <w:color w:val="auto"/>
        </w:rPr>
        <w:t>Number of SKUs affected</w:t>
      </w:r>
    </w:p>
    <w:p w14:paraId="5B35A683" w14:textId="2B96AB6D" w:rsidR="00104310" w:rsidRDefault="49FE0F90" w:rsidP="00A70924">
      <w:r>
        <w:t>To estimate the number of products that would require a labelling change, we used Kantar data provided to DHSC, FSA, and FSS by the UK Flour Millers’ Association</w:t>
      </w:r>
      <w:r w:rsidR="19992D29">
        <w:t>. This was a bespoke request which showed the number of SKUs containing non-wholemeal wheat flour (NWWF) in the largest four UK supermarkets by market share.</w:t>
      </w:r>
    </w:p>
    <w:p w14:paraId="0F5CF4BA" w14:textId="77777777" w:rsidR="008C12E0" w:rsidRDefault="008C12E0" w:rsidP="00A70924"/>
    <w:p w14:paraId="396D482A" w14:textId="5F9D2977" w:rsidR="008C12E0" w:rsidRDefault="008C12E0" w:rsidP="00A70924">
      <w:r>
        <w:t>This data showed that there were 10,184</w:t>
      </w:r>
      <w:r w:rsidR="001B7901">
        <w:t xml:space="preserve"> individual SKUs containing NWWF in the biggest four UK supermarkets (Tesco, Sainsbury’s, Asda, and Morrisons). This figure includes own-label products as well as branded products, some of which would be sold across different supermarkets.</w:t>
      </w:r>
      <w:r w:rsidR="00DF4927">
        <w:t xml:space="preserve"> We assume these four retailers sell all branded NWWF-containing products that exist in the market, </w:t>
      </w:r>
      <w:r w:rsidR="00BE41CC">
        <w:t xml:space="preserve">with additional ‘own-label’ brands sold in other </w:t>
      </w:r>
      <w:r w:rsidR="000F37EF">
        <w:t xml:space="preserve">grocery </w:t>
      </w:r>
      <w:r w:rsidR="00BE41CC">
        <w:t>retailers</w:t>
      </w:r>
      <w:r w:rsidR="00791EAB">
        <w:t xml:space="preserve"> (A32)</w:t>
      </w:r>
      <w:r w:rsidR="00BE41CC">
        <w:t>.</w:t>
      </w:r>
    </w:p>
    <w:p w14:paraId="6B9F7837" w14:textId="77777777" w:rsidR="001B7901" w:rsidRDefault="001B7901" w:rsidP="00A70924"/>
    <w:p w14:paraId="16D25652" w14:textId="33695EFD" w:rsidR="00F04330" w:rsidRDefault="00F04330" w:rsidP="00A70924">
      <w:r w:rsidRPr="00F04330">
        <w:t xml:space="preserve">Evidence showed that as of May 2021 the largest four supermarkets had a market share of 67.1%, leaving all other grocery retailers with a market share of 32.9%. </w:t>
      </w:r>
      <w:r w:rsidR="00C6366D">
        <w:t>Using the ratio of market shares between these two groups of retailers, and the</w:t>
      </w:r>
      <w:r w:rsidRPr="00F04330">
        <w:t xml:space="preserve"> number of all individual own-label SKUs in the largest four supermarkets (including products without wheat) gave an estimate of 8,721 own-label SKUs in all other grocery retailers.</w:t>
      </w:r>
    </w:p>
    <w:p w14:paraId="2AD3B71B" w14:textId="77777777" w:rsidR="00BC465B" w:rsidRDefault="00BC465B" w:rsidP="00A70924"/>
    <w:p w14:paraId="27E5CC2D" w14:textId="53A066E9" w:rsidR="00837599" w:rsidRDefault="00BC465B" w:rsidP="00A70924">
      <w:r>
        <w:t>From the Kantar data, we know that 31.4% of own-label SKUs contained NWWF on average in the four largest supermarkets. We assume this is the case for other grocery retailers as well</w:t>
      </w:r>
      <w:r w:rsidR="00B8293C">
        <w:t xml:space="preserve"> (A33)</w:t>
      </w:r>
      <w:r>
        <w:t>.</w:t>
      </w:r>
    </w:p>
    <w:p w14:paraId="597F863C" w14:textId="77777777" w:rsidR="00B13080" w:rsidRPr="00AF74F9" w:rsidRDefault="00B13080" w:rsidP="00A70924"/>
    <w:p w14:paraId="7581B7CD" w14:textId="68473108" w:rsidR="00837599" w:rsidRPr="00AF74F9" w:rsidRDefault="00837599" w:rsidP="00837599">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27</w:t>
      </w:r>
      <w:r w:rsidR="00000F90" w:rsidRPr="00AF74F9">
        <w:rPr>
          <w:noProof/>
          <w:color w:val="auto"/>
        </w:rPr>
        <w:fldChar w:fldCharType="end"/>
      </w:r>
      <w:r w:rsidRPr="00AF74F9">
        <w:rPr>
          <w:color w:val="auto"/>
        </w:rPr>
        <w:t xml:space="preserve">. Estimated market share of </w:t>
      </w:r>
      <w:r w:rsidR="0045066F" w:rsidRPr="00AF74F9">
        <w:rPr>
          <w:color w:val="auto"/>
        </w:rPr>
        <w:t>‘Big Four’ grocery retailers, May 2021</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531"/>
        <w:gridCol w:w="1735"/>
        <w:gridCol w:w="1735"/>
        <w:gridCol w:w="1735"/>
      </w:tblGrid>
      <w:tr w:rsidR="00B13080" w14:paraId="0CB787A9" w14:textId="77777777" w:rsidTr="00837599">
        <w:trPr>
          <w:trHeight w:val="298"/>
        </w:trPr>
        <w:tc>
          <w:tcPr>
            <w:tcW w:w="4531" w:type="dxa"/>
          </w:tcPr>
          <w:p w14:paraId="5F01DD30" w14:textId="32D4AF0D" w:rsidR="00B13080" w:rsidRDefault="00B13080" w:rsidP="00A70924"/>
        </w:tc>
        <w:tc>
          <w:tcPr>
            <w:tcW w:w="1735" w:type="dxa"/>
          </w:tcPr>
          <w:p w14:paraId="658F5F37" w14:textId="0AC42427" w:rsidR="00B13080" w:rsidRPr="00006254" w:rsidRDefault="00B13080" w:rsidP="00A70924">
            <w:pPr>
              <w:rPr>
                <w:b/>
                <w:bCs/>
              </w:rPr>
            </w:pPr>
            <w:r w:rsidRPr="00006254">
              <w:rPr>
                <w:b/>
                <w:bCs/>
              </w:rPr>
              <w:t>Big Four</w:t>
            </w:r>
          </w:p>
        </w:tc>
        <w:tc>
          <w:tcPr>
            <w:tcW w:w="1735" w:type="dxa"/>
          </w:tcPr>
          <w:p w14:paraId="4D8BC65F" w14:textId="0D042426" w:rsidR="00B13080" w:rsidRPr="00006254" w:rsidRDefault="00B13080" w:rsidP="00A70924">
            <w:pPr>
              <w:rPr>
                <w:b/>
                <w:bCs/>
              </w:rPr>
            </w:pPr>
            <w:r w:rsidRPr="00006254">
              <w:rPr>
                <w:b/>
                <w:bCs/>
              </w:rPr>
              <w:t>Other</w:t>
            </w:r>
          </w:p>
        </w:tc>
        <w:tc>
          <w:tcPr>
            <w:tcW w:w="1735" w:type="dxa"/>
          </w:tcPr>
          <w:p w14:paraId="4844A695" w14:textId="680F6CFA" w:rsidR="00B13080" w:rsidRPr="00006254" w:rsidRDefault="00B13080" w:rsidP="00A70924">
            <w:pPr>
              <w:rPr>
                <w:b/>
                <w:bCs/>
              </w:rPr>
            </w:pPr>
            <w:r w:rsidRPr="00006254">
              <w:rPr>
                <w:b/>
                <w:bCs/>
              </w:rPr>
              <w:t>Total</w:t>
            </w:r>
          </w:p>
        </w:tc>
      </w:tr>
      <w:tr w:rsidR="00B13080" w14:paraId="1A07699A" w14:textId="77777777" w:rsidTr="00837599">
        <w:trPr>
          <w:trHeight w:val="298"/>
        </w:trPr>
        <w:tc>
          <w:tcPr>
            <w:tcW w:w="4531" w:type="dxa"/>
          </w:tcPr>
          <w:p w14:paraId="77DC1696" w14:textId="4C60F687" w:rsidR="00B13080" w:rsidRPr="00F06F33" w:rsidRDefault="00B13080" w:rsidP="00A70924">
            <w:r w:rsidRPr="00F06F33">
              <w:t>Market share</w:t>
            </w:r>
          </w:p>
        </w:tc>
        <w:tc>
          <w:tcPr>
            <w:tcW w:w="1735" w:type="dxa"/>
          </w:tcPr>
          <w:p w14:paraId="515B8189" w14:textId="0F90A52F" w:rsidR="00B13080" w:rsidRPr="00006254" w:rsidRDefault="00514A65" w:rsidP="00A70924">
            <w:pPr>
              <w:rPr>
                <w:i/>
                <w:iCs/>
              </w:rPr>
            </w:pPr>
            <w:r w:rsidRPr="00006254">
              <w:rPr>
                <w:i/>
                <w:iCs/>
              </w:rPr>
              <w:t>67.1%</w:t>
            </w:r>
          </w:p>
        </w:tc>
        <w:tc>
          <w:tcPr>
            <w:tcW w:w="1735" w:type="dxa"/>
          </w:tcPr>
          <w:p w14:paraId="7B8128B6" w14:textId="53E94CA0" w:rsidR="00B13080" w:rsidRPr="00006254" w:rsidRDefault="00514A65" w:rsidP="00A70924">
            <w:pPr>
              <w:rPr>
                <w:i/>
                <w:iCs/>
              </w:rPr>
            </w:pPr>
            <w:r w:rsidRPr="00006254">
              <w:rPr>
                <w:i/>
                <w:iCs/>
              </w:rPr>
              <w:t>32.9%</w:t>
            </w:r>
          </w:p>
        </w:tc>
        <w:tc>
          <w:tcPr>
            <w:tcW w:w="1735" w:type="dxa"/>
          </w:tcPr>
          <w:p w14:paraId="3E854727" w14:textId="4B1E636D" w:rsidR="00B13080" w:rsidRPr="00006254" w:rsidRDefault="00514A65" w:rsidP="00A70924">
            <w:pPr>
              <w:rPr>
                <w:i/>
                <w:iCs/>
              </w:rPr>
            </w:pPr>
            <w:r w:rsidRPr="00006254">
              <w:rPr>
                <w:i/>
                <w:iCs/>
              </w:rPr>
              <w:t>100%</w:t>
            </w:r>
          </w:p>
        </w:tc>
      </w:tr>
    </w:tbl>
    <w:p w14:paraId="0B8E027E" w14:textId="0062D5D9" w:rsidR="00BF797D" w:rsidRPr="0045066F" w:rsidRDefault="0045066F" w:rsidP="0045066F">
      <w:pPr>
        <w:jc w:val="right"/>
        <w:rPr>
          <w:sz w:val="20"/>
          <w:szCs w:val="20"/>
        </w:rPr>
      </w:pPr>
      <w:r w:rsidRPr="0045066F">
        <w:rPr>
          <w:sz w:val="20"/>
          <w:szCs w:val="20"/>
        </w:rPr>
        <w:t>Source: Kantar</w:t>
      </w:r>
    </w:p>
    <w:p w14:paraId="0ED20E7A" w14:textId="77777777" w:rsidR="00BF797D" w:rsidRDefault="00BF797D"/>
    <w:p w14:paraId="313CC9A3" w14:textId="4EF3A451" w:rsidR="003E05FA" w:rsidRDefault="00AF0EB6">
      <w:r>
        <w:t xml:space="preserve">Using data on the market share and proportion of SKUs containing </w:t>
      </w:r>
      <w:r w:rsidR="00207828">
        <w:t>NWWF</w:t>
      </w:r>
      <w:r w:rsidR="003146A9">
        <w:t>,</w:t>
      </w:r>
      <w:r w:rsidR="00207828">
        <w:t xml:space="preserve"> DHSC has estimated the total number of NWWF-containing products sold in the UK that may need relabelling.</w:t>
      </w:r>
    </w:p>
    <w:p w14:paraId="36E35CF0" w14:textId="77777777" w:rsidR="00BF797D" w:rsidRDefault="00BF797D"/>
    <w:p w14:paraId="19926314" w14:textId="0528E02B" w:rsidR="005F3974" w:rsidRPr="00AF74F9" w:rsidRDefault="005F3974" w:rsidP="005F3974">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28</w:t>
      </w:r>
      <w:r w:rsidR="00000F90" w:rsidRPr="00AF74F9">
        <w:rPr>
          <w:noProof/>
          <w:color w:val="auto"/>
        </w:rPr>
        <w:fldChar w:fldCharType="end"/>
      </w:r>
      <w:r w:rsidRPr="00AF74F9">
        <w:rPr>
          <w:color w:val="auto"/>
        </w:rPr>
        <w:t xml:space="preserve">. Estimated number of unique products containing NWWF in the UK grocery retail market, </w:t>
      </w:r>
      <w:r w:rsidR="00C9606C" w:rsidRPr="00AF74F9">
        <w:rPr>
          <w:color w:val="auto"/>
        </w:rPr>
        <w:t>May 2021</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21"/>
        <w:gridCol w:w="4110"/>
        <w:gridCol w:w="1735"/>
        <w:gridCol w:w="1735"/>
        <w:gridCol w:w="1735"/>
      </w:tblGrid>
      <w:tr w:rsidR="008B5C33" w14:paraId="5E812EE5" w14:textId="77777777" w:rsidTr="00100744">
        <w:trPr>
          <w:trHeight w:val="298"/>
        </w:trPr>
        <w:tc>
          <w:tcPr>
            <w:tcW w:w="4531" w:type="dxa"/>
            <w:gridSpan w:val="2"/>
            <w:vMerge w:val="restart"/>
            <w:tcBorders>
              <w:top w:val="single" w:sz="4" w:space="0" w:color="auto"/>
            </w:tcBorders>
          </w:tcPr>
          <w:p w14:paraId="158D7AB6" w14:textId="77777777" w:rsidR="008B5C33" w:rsidRDefault="008B5C33" w:rsidP="00A70924"/>
        </w:tc>
        <w:tc>
          <w:tcPr>
            <w:tcW w:w="1735" w:type="dxa"/>
            <w:tcBorders>
              <w:top w:val="single" w:sz="4" w:space="0" w:color="auto"/>
              <w:bottom w:val="nil"/>
              <w:right w:val="single" w:sz="4" w:space="0" w:color="auto"/>
            </w:tcBorders>
          </w:tcPr>
          <w:p w14:paraId="6FA960DF" w14:textId="69954BEF" w:rsidR="008B5C33" w:rsidRPr="003C1E39" w:rsidRDefault="008B5C33" w:rsidP="00A70924">
            <w:pPr>
              <w:rPr>
                <w:b/>
                <w:bCs/>
              </w:rPr>
            </w:pPr>
            <w:r w:rsidRPr="003C1E39">
              <w:rPr>
                <w:b/>
                <w:bCs/>
              </w:rPr>
              <w:t>Big Four</w:t>
            </w:r>
          </w:p>
        </w:tc>
        <w:tc>
          <w:tcPr>
            <w:tcW w:w="1735" w:type="dxa"/>
            <w:tcBorders>
              <w:top w:val="single" w:sz="4" w:space="0" w:color="auto"/>
              <w:left w:val="single" w:sz="4" w:space="0" w:color="auto"/>
              <w:bottom w:val="nil"/>
              <w:right w:val="single" w:sz="4" w:space="0" w:color="auto"/>
            </w:tcBorders>
          </w:tcPr>
          <w:p w14:paraId="4FF63329" w14:textId="1A80CB3B" w:rsidR="008B5C33" w:rsidRPr="003C1E39" w:rsidRDefault="008B5C33" w:rsidP="00A70924">
            <w:pPr>
              <w:rPr>
                <w:b/>
                <w:bCs/>
              </w:rPr>
            </w:pPr>
            <w:r w:rsidRPr="003C1E39">
              <w:rPr>
                <w:b/>
                <w:bCs/>
              </w:rPr>
              <w:t>Other</w:t>
            </w:r>
          </w:p>
        </w:tc>
        <w:tc>
          <w:tcPr>
            <w:tcW w:w="1735" w:type="dxa"/>
            <w:tcBorders>
              <w:top w:val="single" w:sz="4" w:space="0" w:color="auto"/>
              <w:left w:val="single" w:sz="4" w:space="0" w:color="auto"/>
              <w:bottom w:val="nil"/>
            </w:tcBorders>
          </w:tcPr>
          <w:p w14:paraId="33159851" w14:textId="34C9F4B1" w:rsidR="008B5C33" w:rsidRPr="003C1E39" w:rsidRDefault="008B5C33" w:rsidP="00A70924">
            <w:pPr>
              <w:rPr>
                <w:b/>
                <w:bCs/>
              </w:rPr>
            </w:pPr>
            <w:r w:rsidRPr="003C1E39">
              <w:rPr>
                <w:b/>
                <w:bCs/>
              </w:rPr>
              <w:t>Total</w:t>
            </w:r>
          </w:p>
        </w:tc>
      </w:tr>
      <w:tr w:rsidR="008B5C33" w14:paraId="5711FAD8" w14:textId="77777777" w:rsidTr="005635EA">
        <w:trPr>
          <w:trHeight w:val="298"/>
        </w:trPr>
        <w:tc>
          <w:tcPr>
            <w:tcW w:w="4531" w:type="dxa"/>
            <w:gridSpan w:val="2"/>
            <w:vMerge/>
            <w:tcBorders>
              <w:bottom w:val="single" w:sz="4" w:space="0" w:color="auto"/>
            </w:tcBorders>
          </w:tcPr>
          <w:p w14:paraId="3964679C" w14:textId="77777777" w:rsidR="008B5C33" w:rsidRDefault="008B5C33" w:rsidP="00A70924"/>
        </w:tc>
        <w:tc>
          <w:tcPr>
            <w:tcW w:w="1735" w:type="dxa"/>
            <w:tcBorders>
              <w:bottom w:val="single" w:sz="4" w:space="0" w:color="auto"/>
              <w:right w:val="single" w:sz="4" w:space="0" w:color="auto"/>
            </w:tcBorders>
          </w:tcPr>
          <w:p w14:paraId="5BE7922E" w14:textId="1E02BC43" w:rsidR="008B5C33" w:rsidRPr="00837599" w:rsidRDefault="008B5C33" w:rsidP="00A70924">
            <w:pPr>
              <w:rPr>
                <w:i/>
                <w:iCs/>
                <w:sz w:val="20"/>
                <w:szCs w:val="20"/>
              </w:rPr>
            </w:pPr>
            <w:r w:rsidRPr="00837599">
              <w:rPr>
                <w:i/>
                <w:iCs/>
                <w:sz w:val="20"/>
                <w:szCs w:val="20"/>
              </w:rPr>
              <w:t>Kantar data</w:t>
            </w:r>
          </w:p>
        </w:tc>
        <w:tc>
          <w:tcPr>
            <w:tcW w:w="1735" w:type="dxa"/>
            <w:tcBorders>
              <w:left w:val="single" w:sz="4" w:space="0" w:color="auto"/>
              <w:bottom w:val="single" w:sz="4" w:space="0" w:color="auto"/>
              <w:right w:val="single" w:sz="4" w:space="0" w:color="auto"/>
            </w:tcBorders>
          </w:tcPr>
          <w:p w14:paraId="5DDFC5A0" w14:textId="620EF824" w:rsidR="008B5C33" w:rsidRPr="00837599" w:rsidRDefault="008B5C33" w:rsidP="00A70924">
            <w:pPr>
              <w:rPr>
                <w:i/>
                <w:iCs/>
                <w:sz w:val="20"/>
                <w:szCs w:val="20"/>
              </w:rPr>
            </w:pPr>
            <w:r w:rsidRPr="00837599">
              <w:rPr>
                <w:i/>
                <w:iCs/>
                <w:sz w:val="20"/>
                <w:szCs w:val="20"/>
              </w:rPr>
              <w:t>Estimated</w:t>
            </w:r>
          </w:p>
        </w:tc>
        <w:tc>
          <w:tcPr>
            <w:tcW w:w="1735" w:type="dxa"/>
            <w:tcBorders>
              <w:left w:val="single" w:sz="4" w:space="0" w:color="auto"/>
              <w:bottom w:val="single" w:sz="4" w:space="0" w:color="auto"/>
            </w:tcBorders>
          </w:tcPr>
          <w:p w14:paraId="6CAD7FF0" w14:textId="453FF515" w:rsidR="008B5C33" w:rsidRPr="00837599" w:rsidRDefault="008B5C33" w:rsidP="00A70924">
            <w:pPr>
              <w:rPr>
                <w:i/>
                <w:iCs/>
                <w:sz w:val="20"/>
                <w:szCs w:val="20"/>
              </w:rPr>
            </w:pPr>
            <w:r w:rsidRPr="00837599">
              <w:rPr>
                <w:i/>
                <w:iCs/>
                <w:sz w:val="20"/>
                <w:szCs w:val="20"/>
              </w:rPr>
              <w:t>Estimated</w:t>
            </w:r>
          </w:p>
        </w:tc>
      </w:tr>
      <w:tr w:rsidR="00E22F3C" w14:paraId="004346C4" w14:textId="77777777" w:rsidTr="005635EA">
        <w:trPr>
          <w:trHeight w:val="298"/>
        </w:trPr>
        <w:tc>
          <w:tcPr>
            <w:tcW w:w="9736" w:type="dxa"/>
            <w:gridSpan w:val="5"/>
            <w:tcBorders>
              <w:top w:val="single" w:sz="4" w:space="0" w:color="auto"/>
              <w:bottom w:val="single" w:sz="4" w:space="0" w:color="auto"/>
              <w:right w:val="nil"/>
            </w:tcBorders>
          </w:tcPr>
          <w:p w14:paraId="7C6D181F" w14:textId="0831BB61" w:rsidR="00E22F3C" w:rsidRPr="00E8185A" w:rsidRDefault="00E22F3C" w:rsidP="00A70924">
            <w:pPr>
              <w:rPr>
                <w:b/>
                <w:bCs/>
              </w:rPr>
            </w:pPr>
            <w:r w:rsidRPr="00E8185A">
              <w:rPr>
                <w:b/>
                <w:bCs/>
              </w:rPr>
              <w:t>Branded SKUs containing NWWF</w:t>
            </w:r>
          </w:p>
        </w:tc>
      </w:tr>
      <w:tr w:rsidR="00094446" w14:paraId="6E15B38B" w14:textId="77777777" w:rsidTr="00ED23F3">
        <w:trPr>
          <w:trHeight w:val="298"/>
        </w:trPr>
        <w:tc>
          <w:tcPr>
            <w:tcW w:w="421" w:type="dxa"/>
            <w:tcBorders>
              <w:top w:val="single" w:sz="4" w:space="0" w:color="auto"/>
            </w:tcBorders>
          </w:tcPr>
          <w:p w14:paraId="4E2634E9" w14:textId="77777777" w:rsidR="00094446" w:rsidRDefault="00094446" w:rsidP="00094446"/>
        </w:tc>
        <w:tc>
          <w:tcPr>
            <w:tcW w:w="4110" w:type="dxa"/>
            <w:tcBorders>
              <w:top w:val="single" w:sz="4" w:space="0" w:color="auto"/>
            </w:tcBorders>
          </w:tcPr>
          <w:p w14:paraId="2AC8A351" w14:textId="27EEE1B5" w:rsidR="00094446" w:rsidRDefault="00094446" w:rsidP="00094446">
            <w:r>
              <w:t>Low estimate (-10%)</w:t>
            </w:r>
          </w:p>
        </w:tc>
        <w:tc>
          <w:tcPr>
            <w:tcW w:w="1735" w:type="dxa"/>
            <w:tcBorders>
              <w:top w:val="single" w:sz="4" w:space="0" w:color="auto"/>
              <w:right w:val="single" w:sz="4" w:space="0" w:color="auto"/>
            </w:tcBorders>
          </w:tcPr>
          <w:p w14:paraId="6E2E17A4" w14:textId="48614F91" w:rsidR="00094446" w:rsidRDefault="00094446" w:rsidP="00094446">
            <w:r>
              <w:t>9,166</w:t>
            </w:r>
          </w:p>
        </w:tc>
        <w:tc>
          <w:tcPr>
            <w:tcW w:w="1735" w:type="dxa"/>
            <w:tcBorders>
              <w:top w:val="single" w:sz="4" w:space="0" w:color="auto"/>
              <w:left w:val="single" w:sz="4" w:space="0" w:color="auto"/>
              <w:right w:val="single" w:sz="4" w:space="0" w:color="auto"/>
            </w:tcBorders>
          </w:tcPr>
          <w:p w14:paraId="794DD7C6" w14:textId="6C5CBE31" w:rsidR="00094446" w:rsidRDefault="00426299" w:rsidP="00094446">
            <w:r>
              <w:t>..</w:t>
            </w:r>
          </w:p>
        </w:tc>
        <w:tc>
          <w:tcPr>
            <w:tcW w:w="1735" w:type="dxa"/>
            <w:tcBorders>
              <w:top w:val="single" w:sz="4" w:space="0" w:color="auto"/>
              <w:left w:val="single" w:sz="4" w:space="0" w:color="auto"/>
            </w:tcBorders>
          </w:tcPr>
          <w:p w14:paraId="3A5BC808" w14:textId="4B1A1D9C" w:rsidR="00094446" w:rsidRDefault="00094446" w:rsidP="00094446">
            <w:r>
              <w:t>9,166</w:t>
            </w:r>
          </w:p>
        </w:tc>
      </w:tr>
      <w:tr w:rsidR="00094446" w14:paraId="08A300F7" w14:textId="77777777" w:rsidTr="00ED23F3">
        <w:trPr>
          <w:trHeight w:val="298"/>
        </w:trPr>
        <w:tc>
          <w:tcPr>
            <w:tcW w:w="421" w:type="dxa"/>
          </w:tcPr>
          <w:p w14:paraId="67A448BA" w14:textId="77777777" w:rsidR="00094446" w:rsidRDefault="00094446" w:rsidP="00094446"/>
        </w:tc>
        <w:tc>
          <w:tcPr>
            <w:tcW w:w="4110" w:type="dxa"/>
          </w:tcPr>
          <w:p w14:paraId="248708C0" w14:textId="5C70A224" w:rsidR="00094446" w:rsidRDefault="00094446" w:rsidP="00094446">
            <w:r>
              <w:t>Central estimate</w:t>
            </w:r>
          </w:p>
        </w:tc>
        <w:tc>
          <w:tcPr>
            <w:tcW w:w="1735" w:type="dxa"/>
            <w:tcBorders>
              <w:right w:val="single" w:sz="4" w:space="0" w:color="auto"/>
            </w:tcBorders>
          </w:tcPr>
          <w:p w14:paraId="6B6766EB" w14:textId="13772573" w:rsidR="00094446" w:rsidRDefault="00094446" w:rsidP="00094446">
            <w:r>
              <w:t>10,184</w:t>
            </w:r>
          </w:p>
        </w:tc>
        <w:tc>
          <w:tcPr>
            <w:tcW w:w="1735" w:type="dxa"/>
            <w:tcBorders>
              <w:left w:val="single" w:sz="4" w:space="0" w:color="auto"/>
              <w:right w:val="single" w:sz="4" w:space="0" w:color="auto"/>
            </w:tcBorders>
          </w:tcPr>
          <w:p w14:paraId="78E435E9" w14:textId="6E67812F" w:rsidR="00094446" w:rsidRDefault="00426299" w:rsidP="00094446">
            <w:r>
              <w:t>..</w:t>
            </w:r>
          </w:p>
        </w:tc>
        <w:tc>
          <w:tcPr>
            <w:tcW w:w="1735" w:type="dxa"/>
            <w:tcBorders>
              <w:left w:val="single" w:sz="4" w:space="0" w:color="auto"/>
            </w:tcBorders>
          </w:tcPr>
          <w:p w14:paraId="65F52540" w14:textId="43EED2A6" w:rsidR="00094446" w:rsidRDefault="00094446" w:rsidP="00094446">
            <w:r>
              <w:t>10,184</w:t>
            </w:r>
          </w:p>
        </w:tc>
      </w:tr>
      <w:tr w:rsidR="00094446" w14:paraId="71877920" w14:textId="77777777" w:rsidTr="00ED23F3">
        <w:trPr>
          <w:trHeight w:val="298"/>
        </w:trPr>
        <w:tc>
          <w:tcPr>
            <w:tcW w:w="421" w:type="dxa"/>
            <w:tcBorders>
              <w:bottom w:val="single" w:sz="4" w:space="0" w:color="auto"/>
            </w:tcBorders>
          </w:tcPr>
          <w:p w14:paraId="0FDD23D0" w14:textId="77777777" w:rsidR="00094446" w:rsidRDefault="00094446" w:rsidP="00094446"/>
        </w:tc>
        <w:tc>
          <w:tcPr>
            <w:tcW w:w="4110" w:type="dxa"/>
            <w:tcBorders>
              <w:bottom w:val="single" w:sz="4" w:space="0" w:color="auto"/>
            </w:tcBorders>
          </w:tcPr>
          <w:p w14:paraId="31B38F98" w14:textId="688E06C0" w:rsidR="00094446" w:rsidRDefault="00094446" w:rsidP="00094446">
            <w:r>
              <w:t>High estimate (+10%)</w:t>
            </w:r>
          </w:p>
        </w:tc>
        <w:tc>
          <w:tcPr>
            <w:tcW w:w="1735" w:type="dxa"/>
            <w:tcBorders>
              <w:bottom w:val="single" w:sz="4" w:space="0" w:color="auto"/>
              <w:right w:val="single" w:sz="4" w:space="0" w:color="auto"/>
            </w:tcBorders>
          </w:tcPr>
          <w:p w14:paraId="50989A6D" w14:textId="13137B66" w:rsidR="00094446" w:rsidRDefault="00094446" w:rsidP="00094446">
            <w:r>
              <w:t>11,202</w:t>
            </w:r>
          </w:p>
        </w:tc>
        <w:tc>
          <w:tcPr>
            <w:tcW w:w="1735" w:type="dxa"/>
            <w:tcBorders>
              <w:left w:val="single" w:sz="4" w:space="0" w:color="auto"/>
              <w:bottom w:val="single" w:sz="4" w:space="0" w:color="auto"/>
              <w:right w:val="single" w:sz="4" w:space="0" w:color="auto"/>
            </w:tcBorders>
          </w:tcPr>
          <w:p w14:paraId="09692A22" w14:textId="5A553E76" w:rsidR="00094446" w:rsidRDefault="00426299" w:rsidP="00094446">
            <w:r>
              <w:t>..</w:t>
            </w:r>
          </w:p>
        </w:tc>
        <w:tc>
          <w:tcPr>
            <w:tcW w:w="1735" w:type="dxa"/>
            <w:tcBorders>
              <w:left w:val="single" w:sz="4" w:space="0" w:color="auto"/>
              <w:bottom w:val="single" w:sz="4" w:space="0" w:color="auto"/>
            </w:tcBorders>
          </w:tcPr>
          <w:p w14:paraId="2282085C" w14:textId="3C13F023" w:rsidR="00094446" w:rsidRDefault="00094446" w:rsidP="00094446">
            <w:r>
              <w:t>11,202</w:t>
            </w:r>
          </w:p>
        </w:tc>
      </w:tr>
      <w:tr w:rsidR="00703582" w14:paraId="7722824F" w14:textId="77777777" w:rsidTr="005635EA">
        <w:trPr>
          <w:trHeight w:val="298"/>
        </w:trPr>
        <w:tc>
          <w:tcPr>
            <w:tcW w:w="9736" w:type="dxa"/>
            <w:gridSpan w:val="5"/>
            <w:tcBorders>
              <w:top w:val="single" w:sz="4" w:space="0" w:color="auto"/>
              <w:bottom w:val="single" w:sz="4" w:space="0" w:color="auto"/>
              <w:right w:val="nil"/>
            </w:tcBorders>
          </w:tcPr>
          <w:p w14:paraId="451FFC65" w14:textId="76EE2977" w:rsidR="00703582" w:rsidRPr="00E8185A" w:rsidRDefault="00703582" w:rsidP="0042010F">
            <w:pPr>
              <w:rPr>
                <w:b/>
                <w:bCs/>
              </w:rPr>
            </w:pPr>
            <w:r w:rsidRPr="00E8185A">
              <w:rPr>
                <w:b/>
                <w:bCs/>
              </w:rPr>
              <w:t>Own-label SKUs containing NWWF</w:t>
            </w:r>
          </w:p>
        </w:tc>
      </w:tr>
      <w:tr w:rsidR="00741454" w14:paraId="1945162F" w14:textId="77777777" w:rsidTr="00100744">
        <w:trPr>
          <w:trHeight w:val="298"/>
        </w:trPr>
        <w:tc>
          <w:tcPr>
            <w:tcW w:w="4531" w:type="dxa"/>
            <w:gridSpan w:val="2"/>
            <w:tcBorders>
              <w:top w:val="single" w:sz="4" w:space="0" w:color="auto"/>
            </w:tcBorders>
          </w:tcPr>
          <w:p w14:paraId="2C33ED43" w14:textId="30011663" w:rsidR="00741454" w:rsidRDefault="00741454" w:rsidP="00741454">
            <w:r w:rsidRPr="00050961">
              <w:rPr>
                <w:i/>
                <w:iCs/>
              </w:rPr>
              <w:t>Total own-label SKUs</w:t>
            </w:r>
          </w:p>
        </w:tc>
        <w:tc>
          <w:tcPr>
            <w:tcW w:w="1735" w:type="dxa"/>
            <w:tcBorders>
              <w:top w:val="single" w:sz="4" w:space="0" w:color="auto"/>
              <w:right w:val="single" w:sz="4" w:space="0" w:color="auto"/>
            </w:tcBorders>
          </w:tcPr>
          <w:p w14:paraId="5F21F48F" w14:textId="18828D05" w:rsidR="00741454" w:rsidRPr="00554F43" w:rsidRDefault="00741454" w:rsidP="00741454">
            <w:r w:rsidRPr="00050961">
              <w:rPr>
                <w:i/>
                <w:iCs/>
              </w:rPr>
              <w:t>17,786</w:t>
            </w:r>
          </w:p>
        </w:tc>
        <w:tc>
          <w:tcPr>
            <w:tcW w:w="1735" w:type="dxa"/>
            <w:tcBorders>
              <w:top w:val="single" w:sz="4" w:space="0" w:color="auto"/>
              <w:left w:val="single" w:sz="4" w:space="0" w:color="auto"/>
              <w:right w:val="single" w:sz="4" w:space="0" w:color="auto"/>
            </w:tcBorders>
          </w:tcPr>
          <w:p w14:paraId="34B00E42" w14:textId="6368BA01" w:rsidR="00741454" w:rsidRPr="00554F43" w:rsidRDefault="00741454" w:rsidP="00741454">
            <w:r w:rsidRPr="00050961">
              <w:rPr>
                <w:i/>
                <w:iCs/>
              </w:rPr>
              <w:t>8,721</w:t>
            </w:r>
          </w:p>
        </w:tc>
        <w:tc>
          <w:tcPr>
            <w:tcW w:w="1735" w:type="dxa"/>
            <w:tcBorders>
              <w:top w:val="single" w:sz="4" w:space="0" w:color="auto"/>
              <w:left w:val="single" w:sz="4" w:space="0" w:color="auto"/>
            </w:tcBorders>
          </w:tcPr>
          <w:p w14:paraId="611FBA90" w14:textId="43B49340" w:rsidR="00741454" w:rsidRPr="00554F43" w:rsidRDefault="00741454" w:rsidP="00741454">
            <w:r>
              <w:rPr>
                <w:i/>
                <w:iCs/>
              </w:rPr>
              <w:t>26,507</w:t>
            </w:r>
          </w:p>
        </w:tc>
      </w:tr>
      <w:tr w:rsidR="00582167" w14:paraId="5A8E1088" w14:textId="77777777" w:rsidTr="00100744">
        <w:trPr>
          <w:trHeight w:val="298"/>
        </w:trPr>
        <w:tc>
          <w:tcPr>
            <w:tcW w:w="9736" w:type="dxa"/>
            <w:gridSpan w:val="5"/>
            <w:tcBorders>
              <w:top w:val="single" w:sz="4" w:space="0" w:color="auto"/>
            </w:tcBorders>
          </w:tcPr>
          <w:p w14:paraId="37CD504B" w14:textId="129D247A" w:rsidR="00582167" w:rsidRDefault="00A26177" w:rsidP="00741454">
            <w:pPr>
              <w:rPr>
                <w:i/>
                <w:iCs/>
              </w:rPr>
            </w:pPr>
            <w:r>
              <w:rPr>
                <w:i/>
                <w:iCs/>
              </w:rPr>
              <w:t xml:space="preserve"> </w:t>
            </w:r>
            <w:r w:rsidR="00582167">
              <w:rPr>
                <w:i/>
                <w:iCs/>
              </w:rPr>
              <w:t>of which contain NWWF:</w:t>
            </w:r>
          </w:p>
        </w:tc>
      </w:tr>
      <w:tr w:rsidR="00FE71C2" w14:paraId="5B4E82A6" w14:textId="77777777" w:rsidTr="00ED23F3">
        <w:trPr>
          <w:trHeight w:val="298"/>
        </w:trPr>
        <w:tc>
          <w:tcPr>
            <w:tcW w:w="421" w:type="dxa"/>
            <w:tcBorders>
              <w:top w:val="single" w:sz="4" w:space="0" w:color="auto"/>
            </w:tcBorders>
          </w:tcPr>
          <w:p w14:paraId="1536F483" w14:textId="77777777" w:rsidR="00FE71C2" w:rsidRDefault="00FE71C2" w:rsidP="00FE71C2"/>
        </w:tc>
        <w:tc>
          <w:tcPr>
            <w:tcW w:w="4110" w:type="dxa"/>
            <w:tcBorders>
              <w:top w:val="single" w:sz="4" w:space="0" w:color="auto"/>
            </w:tcBorders>
          </w:tcPr>
          <w:p w14:paraId="6EF596C3" w14:textId="03E3B165" w:rsidR="00FE71C2" w:rsidRDefault="00FE71C2" w:rsidP="00FE71C2">
            <w:r>
              <w:t>Low estimate (</w:t>
            </w:r>
            <w:r w:rsidR="00E15512">
              <w:t>-10%</w:t>
            </w:r>
            <w:r>
              <w:t>)</w:t>
            </w:r>
          </w:p>
        </w:tc>
        <w:tc>
          <w:tcPr>
            <w:tcW w:w="1735" w:type="dxa"/>
            <w:tcBorders>
              <w:top w:val="single" w:sz="4" w:space="0" w:color="auto"/>
              <w:right w:val="single" w:sz="4" w:space="0" w:color="auto"/>
            </w:tcBorders>
          </w:tcPr>
          <w:p w14:paraId="5EA5A848" w14:textId="16AB6C02" w:rsidR="00FE71C2" w:rsidRDefault="00FE71C2" w:rsidP="00FE71C2">
            <w:r w:rsidRPr="00554F43">
              <w:t>5,027</w:t>
            </w:r>
          </w:p>
        </w:tc>
        <w:tc>
          <w:tcPr>
            <w:tcW w:w="1735" w:type="dxa"/>
            <w:tcBorders>
              <w:top w:val="single" w:sz="4" w:space="0" w:color="auto"/>
              <w:left w:val="single" w:sz="4" w:space="0" w:color="auto"/>
              <w:right w:val="single" w:sz="4" w:space="0" w:color="auto"/>
            </w:tcBorders>
          </w:tcPr>
          <w:p w14:paraId="1435AC4C" w14:textId="4CA8827C" w:rsidR="00FE71C2" w:rsidRDefault="00FE71C2" w:rsidP="00FE71C2">
            <w:r w:rsidRPr="00554F43">
              <w:t>2,464</w:t>
            </w:r>
          </w:p>
        </w:tc>
        <w:tc>
          <w:tcPr>
            <w:tcW w:w="1735" w:type="dxa"/>
            <w:tcBorders>
              <w:top w:val="single" w:sz="4" w:space="0" w:color="auto"/>
              <w:left w:val="single" w:sz="4" w:space="0" w:color="auto"/>
            </w:tcBorders>
          </w:tcPr>
          <w:p w14:paraId="6A1FA6CA" w14:textId="35DCC226" w:rsidR="00FE71C2" w:rsidRDefault="00FE71C2" w:rsidP="00FE71C2">
            <w:r w:rsidRPr="00554F43">
              <w:t>7,491</w:t>
            </w:r>
          </w:p>
        </w:tc>
      </w:tr>
      <w:tr w:rsidR="00FE71C2" w14:paraId="76747A45" w14:textId="77777777" w:rsidTr="00ED23F3">
        <w:trPr>
          <w:trHeight w:val="298"/>
        </w:trPr>
        <w:tc>
          <w:tcPr>
            <w:tcW w:w="421" w:type="dxa"/>
          </w:tcPr>
          <w:p w14:paraId="59A1B251" w14:textId="77777777" w:rsidR="00FE71C2" w:rsidRDefault="00FE71C2" w:rsidP="00FE71C2"/>
        </w:tc>
        <w:tc>
          <w:tcPr>
            <w:tcW w:w="4110" w:type="dxa"/>
          </w:tcPr>
          <w:p w14:paraId="2B42A817" w14:textId="285945C9" w:rsidR="00FE71C2" w:rsidRDefault="00FE71C2" w:rsidP="00FE71C2">
            <w:r>
              <w:t>Central estimate</w:t>
            </w:r>
          </w:p>
        </w:tc>
        <w:tc>
          <w:tcPr>
            <w:tcW w:w="1735" w:type="dxa"/>
            <w:tcBorders>
              <w:right w:val="single" w:sz="4" w:space="0" w:color="auto"/>
            </w:tcBorders>
          </w:tcPr>
          <w:p w14:paraId="37374BF4" w14:textId="312A099F" w:rsidR="00FE71C2" w:rsidRDefault="00FE71C2" w:rsidP="00FE71C2">
            <w:r w:rsidRPr="00554F43">
              <w:t>5,585</w:t>
            </w:r>
          </w:p>
        </w:tc>
        <w:tc>
          <w:tcPr>
            <w:tcW w:w="1735" w:type="dxa"/>
            <w:tcBorders>
              <w:left w:val="single" w:sz="4" w:space="0" w:color="auto"/>
              <w:right w:val="single" w:sz="4" w:space="0" w:color="auto"/>
            </w:tcBorders>
          </w:tcPr>
          <w:p w14:paraId="5F69A20F" w14:textId="3F32F900" w:rsidR="00FE71C2" w:rsidRDefault="00FE71C2" w:rsidP="00FE71C2">
            <w:r w:rsidRPr="00554F43">
              <w:t>2,738</w:t>
            </w:r>
          </w:p>
        </w:tc>
        <w:tc>
          <w:tcPr>
            <w:tcW w:w="1735" w:type="dxa"/>
            <w:tcBorders>
              <w:left w:val="single" w:sz="4" w:space="0" w:color="auto"/>
            </w:tcBorders>
          </w:tcPr>
          <w:p w14:paraId="727B1228" w14:textId="60FF07B9" w:rsidR="00FE71C2" w:rsidRDefault="00FE71C2" w:rsidP="00FE71C2">
            <w:r w:rsidRPr="00554F43">
              <w:t>8,323</w:t>
            </w:r>
          </w:p>
        </w:tc>
      </w:tr>
      <w:tr w:rsidR="00FE71C2" w14:paraId="49494D80" w14:textId="77777777" w:rsidTr="00ED23F3">
        <w:trPr>
          <w:trHeight w:val="298"/>
        </w:trPr>
        <w:tc>
          <w:tcPr>
            <w:tcW w:w="421" w:type="dxa"/>
            <w:tcBorders>
              <w:bottom w:val="single" w:sz="4" w:space="0" w:color="auto"/>
            </w:tcBorders>
          </w:tcPr>
          <w:p w14:paraId="04545C13" w14:textId="77777777" w:rsidR="00FE71C2" w:rsidRDefault="00FE71C2" w:rsidP="00FE71C2"/>
        </w:tc>
        <w:tc>
          <w:tcPr>
            <w:tcW w:w="4110" w:type="dxa"/>
            <w:tcBorders>
              <w:bottom w:val="single" w:sz="4" w:space="0" w:color="auto"/>
            </w:tcBorders>
          </w:tcPr>
          <w:p w14:paraId="335CF575" w14:textId="534F8B12" w:rsidR="00FE71C2" w:rsidRDefault="00FE71C2" w:rsidP="00FE71C2">
            <w:r>
              <w:t>High estimate (</w:t>
            </w:r>
            <w:r w:rsidR="00E15512">
              <w:t>+10%</w:t>
            </w:r>
            <w:r>
              <w:t>)</w:t>
            </w:r>
          </w:p>
        </w:tc>
        <w:tc>
          <w:tcPr>
            <w:tcW w:w="1735" w:type="dxa"/>
            <w:tcBorders>
              <w:bottom w:val="single" w:sz="4" w:space="0" w:color="auto"/>
              <w:right w:val="single" w:sz="4" w:space="0" w:color="auto"/>
            </w:tcBorders>
          </w:tcPr>
          <w:p w14:paraId="104157F5" w14:textId="28110384" w:rsidR="00FE71C2" w:rsidRDefault="00FE71C2" w:rsidP="00FE71C2">
            <w:r w:rsidRPr="00554F43">
              <w:t>6,144</w:t>
            </w:r>
          </w:p>
        </w:tc>
        <w:tc>
          <w:tcPr>
            <w:tcW w:w="1735" w:type="dxa"/>
            <w:tcBorders>
              <w:left w:val="single" w:sz="4" w:space="0" w:color="auto"/>
              <w:bottom w:val="single" w:sz="4" w:space="0" w:color="auto"/>
              <w:right w:val="single" w:sz="4" w:space="0" w:color="auto"/>
            </w:tcBorders>
          </w:tcPr>
          <w:p w14:paraId="35D80C4D" w14:textId="0CF472A6" w:rsidR="00FE71C2" w:rsidRDefault="00FE71C2" w:rsidP="00FE71C2">
            <w:r w:rsidRPr="00554F43">
              <w:t>3,012</w:t>
            </w:r>
          </w:p>
        </w:tc>
        <w:tc>
          <w:tcPr>
            <w:tcW w:w="1735" w:type="dxa"/>
            <w:tcBorders>
              <w:left w:val="single" w:sz="4" w:space="0" w:color="auto"/>
              <w:bottom w:val="single" w:sz="4" w:space="0" w:color="auto"/>
            </w:tcBorders>
          </w:tcPr>
          <w:p w14:paraId="3C5CA596" w14:textId="3F41A1BD" w:rsidR="00FE71C2" w:rsidRDefault="00FE71C2" w:rsidP="00FE71C2">
            <w:r w:rsidRPr="00554F43">
              <w:t>9,155</w:t>
            </w:r>
          </w:p>
        </w:tc>
      </w:tr>
      <w:tr w:rsidR="005559B3" w14:paraId="3EC4199B" w14:textId="77777777" w:rsidTr="005635EA">
        <w:trPr>
          <w:trHeight w:val="298"/>
        </w:trPr>
        <w:tc>
          <w:tcPr>
            <w:tcW w:w="4531" w:type="dxa"/>
            <w:gridSpan w:val="2"/>
            <w:tcBorders>
              <w:top w:val="single" w:sz="4" w:space="0" w:color="auto"/>
              <w:bottom w:val="single" w:sz="4" w:space="0" w:color="auto"/>
            </w:tcBorders>
          </w:tcPr>
          <w:p w14:paraId="541EBC2B" w14:textId="4EF8CD36" w:rsidR="005559B3" w:rsidRPr="001F20EC" w:rsidRDefault="005559B3" w:rsidP="005559B3">
            <w:pPr>
              <w:rPr>
                <w:b/>
                <w:bCs/>
              </w:rPr>
            </w:pPr>
            <w:r w:rsidRPr="001F20EC">
              <w:rPr>
                <w:b/>
                <w:bCs/>
              </w:rPr>
              <w:t>Total SKUs containing NWWF</w:t>
            </w:r>
            <w:r>
              <w:rPr>
                <w:b/>
                <w:bCs/>
              </w:rPr>
              <w:t>:</w:t>
            </w:r>
          </w:p>
        </w:tc>
        <w:tc>
          <w:tcPr>
            <w:tcW w:w="1735" w:type="dxa"/>
            <w:tcBorders>
              <w:top w:val="single" w:sz="4" w:space="0" w:color="auto"/>
              <w:bottom w:val="single" w:sz="4" w:space="0" w:color="auto"/>
              <w:right w:val="single" w:sz="4" w:space="0" w:color="auto"/>
            </w:tcBorders>
          </w:tcPr>
          <w:p w14:paraId="3A2594C3" w14:textId="77777777" w:rsidR="005559B3" w:rsidRDefault="005559B3" w:rsidP="005559B3"/>
        </w:tc>
        <w:tc>
          <w:tcPr>
            <w:tcW w:w="1735" w:type="dxa"/>
            <w:tcBorders>
              <w:top w:val="single" w:sz="4" w:space="0" w:color="auto"/>
              <w:left w:val="single" w:sz="4" w:space="0" w:color="auto"/>
              <w:bottom w:val="single" w:sz="4" w:space="0" w:color="auto"/>
              <w:right w:val="single" w:sz="4" w:space="0" w:color="auto"/>
            </w:tcBorders>
          </w:tcPr>
          <w:p w14:paraId="4EC8E032" w14:textId="77777777" w:rsidR="005559B3" w:rsidRDefault="005559B3" w:rsidP="005559B3"/>
        </w:tc>
        <w:tc>
          <w:tcPr>
            <w:tcW w:w="1735" w:type="dxa"/>
            <w:tcBorders>
              <w:top w:val="single" w:sz="4" w:space="0" w:color="auto"/>
              <w:left w:val="single" w:sz="4" w:space="0" w:color="auto"/>
              <w:bottom w:val="single" w:sz="4" w:space="0" w:color="auto"/>
            </w:tcBorders>
          </w:tcPr>
          <w:p w14:paraId="0B4DB276" w14:textId="77777777" w:rsidR="005559B3" w:rsidRDefault="005559B3" w:rsidP="005559B3"/>
        </w:tc>
      </w:tr>
      <w:tr w:rsidR="00E15512" w14:paraId="679F6CE3" w14:textId="77777777" w:rsidTr="00ED23F3">
        <w:trPr>
          <w:trHeight w:val="298"/>
        </w:trPr>
        <w:tc>
          <w:tcPr>
            <w:tcW w:w="421" w:type="dxa"/>
            <w:tcBorders>
              <w:top w:val="single" w:sz="4" w:space="0" w:color="auto"/>
            </w:tcBorders>
          </w:tcPr>
          <w:p w14:paraId="65106C3A" w14:textId="77777777" w:rsidR="00E15512" w:rsidRDefault="00E15512" w:rsidP="00E15512"/>
        </w:tc>
        <w:tc>
          <w:tcPr>
            <w:tcW w:w="4110" w:type="dxa"/>
            <w:tcBorders>
              <w:top w:val="single" w:sz="4" w:space="0" w:color="auto"/>
            </w:tcBorders>
          </w:tcPr>
          <w:p w14:paraId="4214E571" w14:textId="727940CA" w:rsidR="00E15512" w:rsidRPr="00DC7C9A" w:rsidRDefault="00E15512" w:rsidP="00E15512">
            <w:pPr>
              <w:rPr>
                <w:b/>
                <w:bCs/>
              </w:rPr>
            </w:pPr>
            <w:r w:rsidRPr="00DC7C9A">
              <w:rPr>
                <w:b/>
                <w:bCs/>
              </w:rPr>
              <w:t>Low estimate</w:t>
            </w:r>
          </w:p>
        </w:tc>
        <w:tc>
          <w:tcPr>
            <w:tcW w:w="1735" w:type="dxa"/>
            <w:tcBorders>
              <w:top w:val="single" w:sz="4" w:space="0" w:color="auto"/>
              <w:right w:val="single" w:sz="4" w:space="0" w:color="auto"/>
            </w:tcBorders>
          </w:tcPr>
          <w:p w14:paraId="36B305A8" w14:textId="3661D7A7" w:rsidR="00E15512" w:rsidRPr="008B5C33" w:rsidRDefault="00E15512" w:rsidP="00E15512">
            <w:pPr>
              <w:rPr>
                <w:b/>
                <w:bCs/>
              </w:rPr>
            </w:pPr>
            <w:r w:rsidRPr="008B5C33">
              <w:rPr>
                <w:b/>
                <w:bCs/>
              </w:rPr>
              <w:t>14,193</w:t>
            </w:r>
          </w:p>
        </w:tc>
        <w:tc>
          <w:tcPr>
            <w:tcW w:w="1735" w:type="dxa"/>
            <w:tcBorders>
              <w:top w:val="single" w:sz="4" w:space="0" w:color="auto"/>
              <w:left w:val="single" w:sz="4" w:space="0" w:color="auto"/>
              <w:right w:val="single" w:sz="4" w:space="0" w:color="auto"/>
            </w:tcBorders>
          </w:tcPr>
          <w:p w14:paraId="0CECBD33" w14:textId="70086C60" w:rsidR="00E15512" w:rsidRPr="008B5C33" w:rsidRDefault="00E15512" w:rsidP="00E15512">
            <w:pPr>
              <w:rPr>
                <w:b/>
                <w:bCs/>
              </w:rPr>
            </w:pPr>
            <w:r w:rsidRPr="008B5C33">
              <w:rPr>
                <w:b/>
                <w:bCs/>
              </w:rPr>
              <w:t>2,464</w:t>
            </w:r>
          </w:p>
        </w:tc>
        <w:tc>
          <w:tcPr>
            <w:tcW w:w="1735" w:type="dxa"/>
            <w:tcBorders>
              <w:top w:val="single" w:sz="4" w:space="0" w:color="auto"/>
              <w:left w:val="single" w:sz="4" w:space="0" w:color="auto"/>
            </w:tcBorders>
          </w:tcPr>
          <w:p w14:paraId="712305B9" w14:textId="479D4D8C" w:rsidR="00E15512" w:rsidRPr="008B5C33" w:rsidRDefault="00E15512" w:rsidP="00E15512">
            <w:pPr>
              <w:rPr>
                <w:b/>
                <w:bCs/>
              </w:rPr>
            </w:pPr>
            <w:r w:rsidRPr="008B5C33">
              <w:rPr>
                <w:b/>
                <w:bCs/>
              </w:rPr>
              <w:t>16,657</w:t>
            </w:r>
          </w:p>
        </w:tc>
      </w:tr>
      <w:tr w:rsidR="00E15512" w14:paraId="495B1882" w14:textId="77777777" w:rsidTr="00ED23F3">
        <w:trPr>
          <w:trHeight w:val="298"/>
        </w:trPr>
        <w:tc>
          <w:tcPr>
            <w:tcW w:w="421" w:type="dxa"/>
          </w:tcPr>
          <w:p w14:paraId="1A3C94ED" w14:textId="77777777" w:rsidR="00E15512" w:rsidRDefault="00E15512" w:rsidP="00E15512"/>
        </w:tc>
        <w:tc>
          <w:tcPr>
            <w:tcW w:w="4110" w:type="dxa"/>
          </w:tcPr>
          <w:p w14:paraId="212A0A90" w14:textId="3B78DF2A" w:rsidR="00E15512" w:rsidRPr="00DC7C9A" w:rsidRDefault="00E15512" w:rsidP="00E15512">
            <w:pPr>
              <w:rPr>
                <w:b/>
                <w:bCs/>
              </w:rPr>
            </w:pPr>
            <w:r w:rsidRPr="00DC7C9A">
              <w:rPr>
                <w:b/>
                <w:bCs/>
              </w:rPr>
              <w:t>Central estimate</w:t>
            </w:r>
          </w:p>
        </w:tc>
        <w:tc>
          <w:tcPr>
            <w:tcW w:w="1735" w:type="dxa"/>
            <w:tcBorders>
              <w:right w:val="single" w:sz="4" w:space="0" w:color="auto"/>
            </w:tcBorders>
          </w:tcPr>
          <w:p w14:paraId="64E3EE35" w14:textId="4A1C0B05" w:rsidR="00E15512" w:rsidRPr="008B5C33" w:rsidRDefault="00E15512" w:rsidP="00E15512">
            <w:pPr>
              <w:rPr>
                <w:b/>
                <w:bCs/>
              </w:rPr>
            </w:pPr>
            <w:r w:rsidRPr="008B5C33">
              <w:rPr>
                <w:b/>
                <w:bCs/>
              </w:rPr>
              <w:t>15,769</w:t>
            </w:r>
          </w:p>
        </w:tc>
        <w:tc>
          <w:tcPr>
            <w:tcW w:w="1735" w:type="dxa"/>
            <w:tcBorders>
              <w:left w:val="single" w:sz="4" w:space="0" w:color="auto"/>
              <w:right w:val="single" w:sz="4" w:space="0" w:color="auto"/>
            </w:tcBorders>
          </w:tcPr>
          <w:p w14:paraId="1736546D" w14:textId="0D40B316" w:rsidR="00E15512" w:rsidRPr="008B5C33" w:rsidRDefault="00E15512" w:rsidP="00E15512">
            <w:pPr>
              <w:rPr>
                <w:b/>
                <w:bCs/>
              </w:rPr>
            </w:pPr>
            <w:r w:rsidRPr="008B5C33">
              <w:rPr>
                <w:b/>
                <w:bCs/>
              </w:rPr>
              <w:t>2,738</w:t>
            </w:r>
          </w:p>
        </w:tc>
        <w:tc>
          <w:tcPr>
            <w:tcW w:w="1735" w:type="dxa"/>
            <w:tcBorders>
              <w:left w:val="single" w:sz="4" w:space="0" w:color="auto"/>
            </w:tcBorders>
          </w:tcPr>
          <w:p w14:paraId="1A51A607" w14:textId="089F3C90" w:rsidR="00E15512" w:rsidRPr="008B5C33" w:rsidRDefault="00E15512" w:rsidP="00E15512">
            <w:pPr>
              <w:rPr>
                <w:b/>
                <w:bCs/>
              </w:rPr>
            </w:pPr>
            <w:r w:rsidRPr="008B5C33">
              <w:rPr>
                <w:b/>
                <w:bCs/>
              </w:rPr>
              <w:t>18,507</w:t>
            </w:r>
          </w:p>
        </w:tc>
      </w:tr>
      <w:tr w:rsidR="00E15512" w14:paraId="1DD3AA56" w14:textId="77777777" w:rsidTr="00ED23F3">
        <w:trPr>
          <w:trHeight w:val="298"/>
        </w:trPr>
        <w:tc>
          <w:tcPr>
            <w:tcW w:w="421" w:type="dxa"/>
          </w:tcPr>
          <w:p w14:paraId="55CD14DD" w14:textId="77777777" w:rsidR="00E15512" w:rsidRDefault="00E15512" w:rsidP="00E15512"/>
        </w:tc>
        <w:tc>
          <w:tcPr>
            <w:tcW w:w="4110" w:type="dxa"/>
          </w:tcPr>
          <w:p w14:paraId="37A65500" w14:textId="0C520C6F" w:rsidR="00E15512" w:rsidRPr="00DC7C9A" w:rsidRDefault="00E15512" w:rsidP="00E15512">
            <w:pPr>
              <w:rPr>
                <w:b/>
                <w:bCs/>
              </w:rPr>
            </w:pPr>
            <w:r w:rsidRPr="00DC7C9A">
              <w:rPr>
                <w:b/>
                <w:bCs/>
              </w:rPr>
              <w:t>High estimate</w:t>
            </w:r>
          </w:p>
        </w:tc>
        <w:tc>
          <w:tcPr>
            <w:tcW w:w="1735" w:type="dxa"/>
            <w:tcBorders>
              <w:bottom w:val="single" w:sz="4" w:space="0" w:color="auto"/>
              <w:right w:val="single" w:sz="4" w:space="0" w:color="auto"/>
            </w:tcBorders>
          </w:tcPr>
          <w:p w14:paraId="0317BE5D" w14:textId="25D6F9EB" w:rsidR="00E15512" w:rsidRPr="008B5C33" w:rsidRDefault="00E15512" w:rsidP="00E15512">
            <w:pPr>
              <w:rPr>
                <w:b/>
                <w:bCs/>
              </w:rPr>
            </w:pPr>
            <w:r w:rsidRPr="008B5C33">
              <w:rPr>
                <w:b/>
                <w:bCs/>
              </w:rPr>
              <w:t>17,346</w:t>
            </w:r>
          </w:p>
        </w:tc>
        <w:tc>
          <w:tcPr>
            <w:tcW w:w="1735" w:type="dxa"/>
            <w:tcBorders>
              <w:left w:val="single" w:sz="4" w:space="0" w:color="auto"/>
              <w:bottom w:val="single" w:sz="4" w:space="0" w:color="auto"/>
              <w:right w:val="single" w:sz="4" w:space="0" w:color="auto"/>
            </w:tcBorders>
          </w:tcPr>
          <w:p w14:paraId="40EEB5B3" w14:textId="4E1A7509" w:rsidR="00E15512" w:rsidRPr="008B5C33" w:rsidRDefault="00E15512" w:rsidP="00E15512">
            <w:pPr>
              <w:rPr>
                <w:b/>
                <w:bCs/>
              </w:rPr>
            </w:pPr>
            <w:r w:rsidRPr="008B5C33">
              <w:rPr>
                <w:b/>
                <w:bCs/>
              </w:rPr>
              <w:t>3,012</w:t>
            </w:r>
          </w:p>
        </w:tc>
        <w:tc>
          <w:tcPr>
            <w:tcW w:w="1735" w:type="dxa"/>
            <w:tcBorders>
              <w:left w:val="single" w:sz="4" w:space="0" w:color="auto"/>
            </w:tcBorders>
          </w:tcPr>
          <w:p w14:paraId="20BD6B8C" w14:textId="2F31FC05" w:rsidR="00E15512" w:rsidRPr="008B5C33" w:rsidRDefault="00E15512" w:rsidP="00E15512">
            <w:pPr>
              <w:rPr>
                <w:b/>
                <w:bCs/>
              </w:rPr>
            </w:pPr>
            <w:r w:rsidRPr="008B5C33">
              <w:rPr>
                <w:b/>
                <w:bCs/>
              </w:rPr>
              <w:t>20,357</w:t>
            </w:r>
          </w:p>
        </w:tc>
      </w:tr>
    </w:tbl>
    <w:p w14:paraId="1825EC32" w14:textId="09A533D0" w:rsidR="00B13080" w:rsidRPr="00C9606C" w:rsidRDefault="00C9606C" w:rsidP="00C9606C">
      <w:pPr>
        <w:jc w:val="right"/>
        <w:rPr>
          <w:sz w:val="20"/>
          <w:szCs w:val="20"/>
        </w:rPr>
      </w:pPr>
      <w:r w:rsidRPr="00C9606C">
        <w:rPr>
          <w:sz w:val="20"/>
          <w:szCs w:val="20"/>
        </w:rPr>
        <w:t xml:space="preserve">Source: DHSC analysis of </w:t>
      </w:r>
      <w:r w:rsidR="00E01883">
        <w:rPr>
          <w:sz w:val="20"/>
          <w:szCs w:val="20"/>
        </w:rPr>
        <w:t xml:space="preserve">May 2021 </w:t>
      </w:r>
      <w:r w:rsidRPr="00C9606C">
        <w:rPr>
          <w:sz w:val="20"/>
          <w:szCs w:val="20"/>
        </w:rPr>
        <w:t>Kantar data</w:t>
      </w:r>
    </w:p>
    <w:p w14:paraId="7BB7A7BE" w14:textId="77777777" w:rsidR="00B13080" w:rsidRDefault="00B13080" w:rsidP="00A70924"/>
    <w:p w14:paraId="075946FD" w14:textId="77777777" w:rsidR="00762163" w:rsidRDefault="00764BAF" w:rsidP="00A70924">
      <w:pPr>
        <w:rPr>
          <w:rFonts w:ascii="Arial" w:hAnsi="Arial" w:cs="Arial"/>
        </w:rPr>
      </w:pPr>
      <w:r>
        <w:t>Many of the estimated 18,50</w:t>
      </w:r>
      <w:r w:rsidR="00DD3FE2">
        <w:t>7</w:t>
      </w:r>
      <w:r>
        <w:t xml:space="preserve"> SKUs </w:t>
      </w:r>
      <w:r w:rsidR="00A41567">
        <w:t xml:space="preserve">(central estimate) </w:t>
      </w:r>
      <w:r>
        <w:t>sold in the UK grocery retail market are likely to be imported and so are out of scope of the cost estimates in this impact assessment</w:t>
      </w:r>
      <w:r w:rsidRPr="00764BAF">
        <w:rPr>
          <w:rFonts w:ascii="Arial" w:hAnsi="Arial" w:cs="Arial"/>
        </w:rPr>
        <w:t>.</w:t>
      </w:r>
      <w:r w:rsidRPr="00764BAF">
        <w:rPr>
          <w:rStyle w:val="FootnoteReference"/>
          <w:rFonts w:ascii="Arial" w:hAnsi="Arial" w:cs="Arial"/>
          <w:sz w:val="24"/>
        </w:rPr>
        <w:footnoteReference w:id="21"/>
      </w:r>
      <w:r>
        <w:rPr>
          <w:rFonts w:ascii="Arial" w:hAnsi="Arial" w:cs="Arial"/>
        </w:rPr>
        <w:t xml:space="preserve"> </w:t>
      </w:r>
      <w:r w:rsidR="007507AF" w:rsidRPr="003376BE">
        <w:rPr>
          <w:rFonts w:ascii="Arial" w:hAnsi="Arial" w:cs="Arial"/>
        </w:rPr>
        <w:t xml:space="preserve">Data published by </w:t>
      </w:r>
      <w:r w:rsidR="00643966" w:rsidRPr="003376BE">
        <w:rPr>
          <w:rFonts w:ascii="Arial" w:hAnsi="Arial" w:cs="Arial"/>
        </w:rPr>
        <w:t xml:space="preserve">Defra </w:t>
      </w:r>
      <w:r w:rsidR="007507AF" w:rsidRPr="003376BE">
        <w:rPr>
          <w:rFonts w:ascii="Arial" w:hAnsi="Arial" w:cs="Arial"/>
        </w:rPr>
        <w:t xml:space="preserve">in their </w:t>
      </w:r>
      <w:hyperlink r:id="rId41" w:history="1">
        <w:r w:rsidR="007507AF" w:rsidRPr="00AF74F9">
          <w:rPr>
            <w:rStyle w:val="Hyperlink"/>
            <w:rFonts w:ascii="Arial" w:hAnsi="Arial" w:cs="Arial"/>
            <w:color w:val="0070C0"/>
          </w:rPr>
          <w:t>Agriculture in the United Kingdom 2022</w:t>
        </w:r>
      </w:hyperlink>
      <w:r w:rsidR="007507AF" w:rsidRPr="00AF74F9">
        <w:rPr>
          <w:rFonts w:ascii="Arial" w:hAnsi="Arial" w:cs="Arial"/>
          <w:color w:val="0070C0"/>
        </w:rPr>
        <w:t xml:space="preserve"> </w:t>
      </w:r>
      <w:r w:rsidR="007507AF" w:rsidRPr="003376BE">
        <w:rPr>
          <w:rFonts w:ascii="Arial" w:hAnsi="Arial" w:cs="Arial"/>
        </w:rPr>
        <w:t xml:space="preserve">publication shows that </w:t>
      </w:r>
      <w:r w:rsidR="00162AEA" w:rsidRPr="003376BE">
        <w:rPr>
          <w:rFonts w:ascii="Arial" w:hAnsi="Arial" w:cs="Arial"/>
        </w:rPr>
        <w:t>42</w:t>
      </w:r>
      <w:r w:rsidR="007507AF" w:rsidRPr="003376BE">
        <w:rPr>
          <w:rFonts w:ascii="Arial" w:hAnsi="Arial" w:cs="Arial"/>
        </w:rPr>
        <w:t xml:space="preserve">% of the food </w:t>
      </w:r>
      <w:r w:rsidR="005074FB" w:rsidRPr="003376BE">
        <w:rPr>
          <w:rFonts w:ascii="Arial" w:hAnsi="Arial" w:cs="Arial"/>
        </w:rPr>
        <w:t>the UK</w:t>
      </w:r>
      <w:r w:rsidR="007507AF" w:rsidRPr="003376BE">
        <w:rPr>
          <w:rFonts w:ascii="Arial" w:hAnsi="Arial" w:cs="Arial"/>
        </w:rPr>
        <w:t xml:space="preserve"> consume</w:t>
      </w:r>
      <w:r w:rsidR="005074FB" w:rsidRPr="003376BE">
        <w:rPr>
          <w:rFonts w:ascii="Arial" w:hAnsi="Arial" w:cs="Arial"/>
        </w:rPr>
        <w:t>s</w:t>
      </w:r>
      <w:r w:rsidR="007507AF">
        <w:rPr>
          <w:rFonts w:ascii="Arial" w:hAnsi="Arial" w:cs="Arial"/>
        </w:rPr>
        <w:t xml:space="preserve"> is imported</w:t>
      </w:r>
      <w:r w:rsidR="005074FB">
        <w:rPr>
          <w:rFonts w:ascii="Arial" w:hAnsi="Arial" w:cs="Arial"/>
        </w:rPr>
        <w:t xml:space="preserve"> from overseas.</w:t>
      </w:r>
      <w:r w:rsidR="00BB5126">
        <w:rPr>
          <w:rFonts w:ascii="Arial" w:hAnsi="Arial" w:cs="Arial"/>
        </w:rPr>
        <w:t xml:space="preserve"> Naturally, this includes food products that do not contain NWWF</w:t>
      </w:r>
      <w:r w:rsidR="00622817">
        <w:rPr>
          <w:rFonts w:ascii="Arial" w:hAnsi="Arial" w:cs="Arial"/>
        </w:rPr>
        <w:t xml:space="preserve"> – but we do not have a specific import proportion estimate for NWWF-containing products. </w:t>
      </w:r>
    </w:p>
    <w:p w14:paraId="754E9A16" w14:textId="4F80480F" w:rsidR="00B13080" w:rsidRDefault="00622817" w:rsidP="00A70924">
      <w:pPr>
        <w:rPr>
          <w:rFonts w:ascii="Arial" w:hAnsi="Arial" w:cs="Arial"/>
        </w:rPr>
      </w:pPr>
      <w:r>
        <w:rPr>
          <w:rFonts w:ascii="Arial" w:hAnsi="Arial" w:cs="Arial"/>
        </w:rPr>
        <w:t>Using this 42% as a proxy</w:t>
      </w:r>
      <w:r w:rsidR="00253E3E">
        <w:rPr>
          <w:rFonts w:ascii="Arial" w:hAnsi="Arial" w:cs="Arial"/>
        </w:rPr>
        <w:t xml:space="preserve"> (A34)</w:t>
      </w:r>
      <w:r>
        <w:rPr>
          <w:rFonts w:ascii="Arial" w:hAnsi="Arial" w:cs="Arial"/>
        </w:rPr>
        <w:t xml:space="preserve">, </w:t>
      </w:r>
      <w:r w:rsidR="003A2ED6">
        <w:rPr>
          <w:rFonts w:ascii="Arial" w:hAnsi="Arial" w:cs="Arial"/>
        </w:rPr>
        <w:t xml:space="preserve">we estimate that </w:t>
      </w:r>
      <w:r w:rsidR="00C7181A">
        <w:rPr>
          <w:rFonts w:ascii="Arial" w:hAnsi="Arial" w:cs="Arial"/>
        </w:rPr>
        <w:t>10,734 UK-produced SKUs will be affected by the legislation</w:t>
      </w:r>
      <w:r w:rsidR="00CC6B6D">
        <w:rPr>
          <w:rFonts w:ascii="Arial" w:hAnsi="Arial" w:cs="Arial"/>
        </w:rPr>
        <w:t xml:space="preserve"> in our central estimate</w:t>
      </w:r>
      <w:r w:rsidR="00C7181A">
        <w:rPr>
          <w:rFonts w:ascii="Arial" w:hAnsi="Arial" w:cs="Arial"/>
        </w:rPr>
        <w:t>.</w:t>
      </w:r>
    </w:p>
    <w:p w14:paraId="558C417C" w14:textId="77777777" w:rsidR="00897349" w:rsidRDefault="00897349" w:rsidP="00A70924">
      <w:pPr>
        <w:rPr>
          <w:rFonts w:ascii="Arial" w:hAnsi="Arial" w:cs="Arial"/>
        </w:rPr>
      </w:pPr>
    </w:p>
    <w:p w14:paraId="5779C495" w14:textId="2C730BF1" w:rsidR="00897349" w:rsidRDefault="009E7579" w:rsidP="00A70924">
      <w:pPr>
        <w:rPr>
          <w:rFonts w:ascii="Arial" w:hAnsi="Arial" w:cs="Arial"/>
        </w:rPr>
      </w:pPr>
      <w:r>
        <w:rPr>
          <w:rFonts w:ascii="Arial" w:hAnsi="Arial" w:cs="Arial"/>
        </w:rPr>
        <w:t xml:space="preserve">Multiplying this by the estimated unit cost of relabelling a single SKU, we arrive at </w:t>
      </w:r>
      <w:r w:rsidR="00534674">
        <w:rPr>
          <w:rFonts w:ascii="Arial" w:hAnsi="Arial" w:cs="Arial"/>
        </w:rPr>
        <w:t xml:space="preserve">a total cost of </w:t>
      </w:r>
      <w:r>
        <w:rPr>
          <w:rFonts w:ascii="Arial" w:hAnsi="Arial" w:cs="Arial"/>
        </w:rPr>
        <w:t>£</w:t>
      </w:r>
      <w:r w:rsidR="00883012">
        <w:rPr>
          <w:rFonts w:ascii="Arial" w:hAnsi="Arial" w:cs="Arial"/>
        </w:rPr>
        <w:t>27.4</w:t>
      </w:r>
      <w:r w:rsidR="00534674">
        <w:rPr>
          <w:rFonts w:ascii="Arial" w:hAnsi="Arial" w:cs="Arial"/>
        </w:rPr>
        <w:t xml:space="preserve"> million for all UK-produced products</w:t>
      </w:r>
      <w:r w:rsidR="00CC6B6D">
        <w:rPr>
          <w:rFonts w:ascii="Arial" w:hAnsi="Arial" w:cs="Arial"/>
        </w:rPr>
        <w:t xml:space="preserve"> for our central estimate</w:t>
      </w:r>
      <w:r w:rsidR="00534674">
        <w:rPr>
          <w:rFonts w:ascii="Arial" w:hAnsi="Arial" w:cs="Arial"/>
        </w:rPr>
        <w:t>.</w:t>
      </w:r>
    </w:p>
    <w:p w14:paraId="570F0F58" w14:textId="77777777" w:rsidR="00D92EE3" w:rsidRDefault="00D92EE3" w:rsidP="00A70924">
      <w:pPr>
        <w:rPr>
          <w:rFonts w:ascii="Arial" w:hAnsi="Arial" w:cs="Arial"/>
        </w:rPr>
      </w:pPr>
    </w:p>
    <w:p w14:paraId="76A601B6" w14:textId="368A9C51" w:rsidR="00657148" w:rsidRPr="00AF74F9" w:rsidRDefault="00657148" w:rsidP="00657148">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29</w:t>
      </w:r>
      <w:r w:rsidR="00000F90" w:rsidRPr="00AF74F9">
        <w:rPr>
          <w:noProof/>
          <w:color w:val="auto"/>
        </w:rPr>
        <w:fldChar w:fldCharType="end"/>
      </w:r>
      <w:r w:rsidRPr="00AF74F9">
        <w:rPr>
          <w:color w:val="auto"/>
        </w:rPr>
        <w:t>. Estimated total relabelling costs for UK-prod</w:t>
      </w:r>
      <w:r w:rsidR="00FD1E30" w:rsidRPr="00AF74F9">
        <w:rPr>
          <w:color w:val="auto"/>
        </w:rPr>
        <w:t>uced products</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35"/>
        <w:gridCol w:w="3450"/>
        <w:gridCol w:w="3451"/>
      </w:tblGrid>
      <w:tr w:rsidR="00D92EE3" w14:paraId="17C7F118" w14:textId="77777777" w:rsidTr="002B4500">
        <w:tc>
          <w:tcPr>
            <w:tcW w:w="2835" w:type="dxa"/>
            <w:tcBorders>
              <w:top w:val="single" w:sz="4" w:space="0" w:color="auto"/>
              <w:bottom w:val="single" w:sz="4" w:space="0" w:color="auto"/>
            </w:tcBorders>
          </w:tcPr>
          <w:p w14:paraId="390800B9" w14:textId="4DDDAC6E" w:rsidR="00D92EE3" w:rsidRPr="00024663" w:rsidRDefault="00D92EE3" w:rsidP="00A70924">
            <w:pPr>
              <w:rPr>
                <w:b/>
                <w:bCs/>
              </w:rPr>
            </w:pPr>
            <w:r w:rsidRPr="00024663">
              <w:rPr>
                <w:b/>
                <w:bCs/>
              </w:rPr>
              <w:t>Estimate</w:t>
            </w:r>
          </w:p>
        </w:tc>
        <w:tc>
          <w:tcPr>
            <w:tcW w:w="3450" w:type="dxa"/>
            <w:tcBorders>
              <w:top w:val="single" w:sz="4" w:space="0" w:color="auto"/>
              <w:bottom w:val="single" w:sz="4" w:space="0" w:color="auto"/>
            </w:tcBorders>
          </w:tcPr>
          <w:p w14:paraId="03108F14" w14:textId="71A5A371" w:rsidR="00D92EE3" w:rsidRPr="00024663" w:rsidRDefault="00D92EE3" w:rsidP="00A70924">
            <w:pPr>
              <w:rPr>
                <w:b/>
                <w:bCs/>
              </w:rPr>
            </w:pPr>
            <w:r w:rsidRPr="00024663">
              <w:rPr>
                <w:b/>
                <w:bCs/>
              </w:rPr>
              <w:t>Estimated UK-produced SKUs containing NWWF</w:t>
            </w:r>
          </w:p>
        </w:tc>
        <w:tc>
          <w:tcPr>
            <w:tcW w:w="3451" w:type="dxa"/>
            <w:tcBorders>
              <w:top w:val="single" w:sz="4" w:space="0" w:color="auto"/>
              <w:bottom w:val="single" w:sz="4" w:space="0" w:color="auto"/>
            </w:tcBorders>
          </w:tcPr>
          <w:p w14:paraId="2D4DABE3" w14:textId="253DE645" w:rsidR="00D92EE3" w:rsidRPr="00024663" w:rsidRDefault="00D92EE3" w:rsidP="00A70924">
            <w:pPr>
              <w:rPr>
                <w:b/>
                <w:bCs/>
              </w:rPr>
            </w:pPr>
            <w:r w:rsidRPr="00024663">
              <w:rPr>
                <w:b/>
                <w:bCs/>
              </w:rPr>
              <w:t xml:space="preserve">Estimated total </w:t>
            </w:r>
            <w:r w:rsidR="002B4500">
              <w:rPr>
                <w:b/>
                <w:bCs/>
              </w:rPr>
              <w:t xml:space="preserve">UK </w:t>
            </w:r>
            <w:r w:rsidRPr="00024663">
              <w:rPr>
                <w:b/>
                <w:bCs/>
              </w:rPr>
              <w:t xml:space="preserve">relabelling cost, £m </w:t>
            </w:r>
            <w:r w:rsidR="00A41366">
              <w:rPr>
                <w:b/>
                <w:bCs/>
              </w:rPr>
              <w:t>2024</w:t>
            </w:r>
          </w:p>
        </w:tc>
      </w:tr>
      <w:tr w:rsidR="00D92EE3" w14:paraId="5E626A6D" w14:textId="77777777" w:rsidTr="002B4500">
        <w:tc>
          <w:tcPr>
            <w:tcW w:w="2835" w:type="dxa"/>
            <w:tcBorders>
              <w:top w:val="single" w:sz="4" w:space="0" w:color="auto"/>
            </w:tcBorders>
          </w:tcPr>
          <w:p w14:paraId="6C78F717" w14:textId="59ABA2D5" w:rsidR="00D92EE3" w:rsidRDefault="00D92EE3" w:rsidP="00D92EE3">
            <w:r>
              <w:t>Low</w:t>
            </w:r>
          </w:p>
        </w:tc>
        <w:tc>
          <w:tcPr>
            <w:tcW w:w="3450" w:type="dxa"/>
            <w:tcBorders>
              <w:top w:val="single" w:sz="4" w:space="0" w:color="auto"/>
            </w:tcBorders>
          </w:tcPr>
          <w:p w14:paraId="77AC113B" w14:textId="0E4E6570" w:rsidR="00D92EE3" w:rsidRDefault="00BA1714" w:rsidP="00D92EE3">
            <w:r>
              <w:t>9,</w:t>
            </w:r>
            <w:r w:rsidR="00546CC0">
              <w:t>661</w:t>
            </w:r>
          </w:p>
        </w:tc>
        <w:tc>
          <w:tcPr>
            <w:tcW w:w="3451" w:type="dxa"/>
            <w:tcBorders>
              <w:top w:val="single" w:sz="4" w:space="0" w:color="auto"/>
            </w:tcBorders>
          </w:tcPr>
          <w:p w14:paraId="1F1E0995" w14:textId="4FC09566" w:rsidR="00D92EE3" w:rsidRDefault="00546CC0" w:rsidP="00D92EE3">
            <w:r>
              <w:t>2</w:t>
            </w:r>
            <w:r w:rsidR="00F022E9">
              <w:t>4.7</w:t>
            </w:r>
          </w:p>
        </w:tc>
      </w:tr>
      <w:tr w:rsidR="00D92EE3" w14:paraId="7256169A" w14:textId="77777777" w:rsidTr="002B4500">
        <w:tc>
          <w:tcPr>
            <w:tcW w:w="2835" w:type="dxa"/>
          </w:tcPr>
          <w:p w14:paraId="0099B483" w14:textId="798C9CB3" w:rsidR="00D92EE3" w:rsidRDefault="00D92EE3" w:rsidP="00D92EE3">
            <w:r>
              <w:t>Central</w:t>
            </w:r>
          </w:p>
        </w:tc>
        <w:tc>
          <w:tcPr>
            <w:tcW w:w="3450" w:type="dxa"/>
          </w:tcPr>
          <w:p w14:paraId="23AEC20F" w14:textId="65434B06" w:rsidR="00D92EE3" w:rsidRDefault="00BA1714" w:rsidP="00D92EE3">
            <w:r>
              <w:t>10,734</w:t>
            </w:r>
          </w:p>
        </w:tc>
        <w:tc>
          <w:tcPr>
            <w:tcW w:w="3451" w:type="dxa"/>
          </w:tcPr>
          <w:p w14:paraId="02578355" w14:textId="7580DE7B" w:rsidR="00D92EE3" w:rsidRDefault="00F022E9" w:rsidP="00D92EE3">
            <w:r>
              <w:t>27.4</w:t>
            </w:r>
          </w:p>
        </w:tc>
      </w:tr>
      <w:tr w:rsidR="00D92EE3" w14:paraId="5F1E9BB8" w14:textId="77777777" w:rsidTr="002B4500">
        <w:tc>
          <w:tcPr>
            <w:tcW w:w="2835" w:type="dxa"/>
          </w:tcPr>
          <w:p w14:paraId="6BADF56A" w14:textId="771DC530" w:rsidR="00D92EE3" w:rsidRDefault="00D92EE3" w:rsidP="00D92EE3">
            <w:r>
              <w:t>High</w:t>
            </w:r>
          </w:p>
        </w:tc>
        <w:tc>
          <w:tcPr>
            <w:tcW w:w="3450" w:type="dxa"/>
          </w:tcPr>
          <w:p w14:paraId="0BACC631" w14:textId="4EA36A5C" w:rsidR="00D92EE3" w:rsidRDefault="00D92EE3" w:rsidP="00D92EE3">
            <w:r w:rsidRPr="0040660F">
              <w:t>20,</w:t>
            </w:r>
            <w:r w:rsidR="00546CC0">
              <w:t>357</w:t>
            </w:r>
          </w:p>
        </w:tc>
        <w:tc>
          <w:tcPr>
            <w:tcW w:w="3451" w:type="dxa"/>
          </w:tcPr>
          <w:p w14:paraId="7E3C01D1" w14:textId="45E41A94" w:rsidR="00D92EE3" w:rsidRDefault="00F022E9" w:rsidP="00D92EE3">
            <w:r>
              <w:t>52.0</w:t>
            </w:r>
          </w:p>
        </w:tc>
      </w:tr>
    </w:tbl>
    <w:p w14:paraId="7DCB381E" w14:textId="77777777" w:rsidR="00D92EE3" w:rsidRDefault="00D92EE3" w:rsidP="00A70924"/>
    <w:p w14:paraId="0F53EF98" w14:textId="00F319A5" w:rsidR="00A07A4B" w:rsidRDefault="00A07A4B" w:rsidP="00A70924">
      <w:r>
        <w:t>We do not have data on the</w:t>
      </w:r>
      <w:r w:rsidR="006D69C9">
        <w:t xml:space="preserve"> </w:t>
      </w:r>
      <w:r w:rsidR="0088627A">
        <w:t xml:space="preserve">Scottish </w:t>
      </w:r>
      <w:r w:rsidR="006D69C9">
        <w:t>proportion of UK-produced products containing NWWF</w:t>
      </w:r>
      <w:r w:rsidR="0088627A">
        <w:t>. To approximate a Scottish split</w:t>
      </w:r>
      <w:r w:rsidR="00CF1CC6">
        <w:t xml:space="preserve"> (A35)</w:t>
      </w:r>
      <w:r w:rsidR="0088627A">
        <w:t xml:space="preserve">, we use </w:t>
      </w:r>
      <w:hyperlink r:id="rId42" w:history="1">
        <w:r w:rsidRPr="00AF74F9">
          <w:rPr>
            <w:rStyle w:val="Hyperlink"/>
            <w:rFonts w:cstheme="minorBidi"/>
            <w:color w:val="0070C0"/>
          </w:rPr>
          <w:t>the proportion of UK food manufacturers located in Scotland</w:t>
        </w:r>
      </w:hyperlink>
      <w:r w:rsidRPr="00AF74F9">
        <w:rPr>
          <w:color w:val="0070C0"/>
        </w:rPr>
        <w:t xml:space="preserve"> </w:t>
      </w:r>
      <w:r>
        <w:t xml:space="preserve">as a </w:t>
      </w:r>
      <w:r w:rsidRPr="000F221C">
        <w:rPr>
          <w:rFonts w:cstheme="minorHAnsi"/>
        </w:rPr>
        <w:t>proxy</w:t>
      </w:r>
      <w:r w:rsidR="00745F9E" w:rsidRPr="000F221C">
        <w:rPr>
          <w:rStyle w:val="FootnoteReference"/>
          <w:rFonts w:asciiTheme="minorHAnsi" w:hAnsiTheme="minorHAnsi" w:cstheme="minorHAnsi"/>
          <w:sz w:val="24"/>
        </w:rPr>
        <w:footnoteReference w:id="22"/>
      </w:r>
      <w:r w:rsidR="00E4119F">
        <w:rPr>
          <w:rFonts w:cstheme="minorHAnsi"/>
        </w:rPr>
        <w:t xml:space="preserve"> and assume </w:t>
      </w:r>
      <w:r>
        <w:t xml:space="preserve">that </w:t>
      </w:r>
      <w:r w:rsidR="002B4500">
        <w:t>8.8</w:t>
      </w:r>
      <w:r>
        <w:t>% of</w:t>
      </w:r>
      <w:r w:rsidR="001539D9">
        <w:t xml:space="preserve"> all UK-produced</w:t>
      </w:r>
      <w:r>
        <w:t xml:space="preserve"> NWWF-containing products are produced by Scottish manufacturer</w:t>
      </w:r>
      <w:r w:rsidR="00E4119F">
        <w:t>s. T</w:t>
      </w:r>
      <w:r>
        <w:t>h</w:t>
      </w:r>
      <w:r w:rsidR="00B8544C">
        <w:t>e costs borne in</w:t>
      </w:r>
      <w:r>
        <w:t xml:space="preserve"> Scotland </w:t>
      </w:r>
      <w:r w:rsidR="00B8544C">
        <w:t>are as follows:</w:t>
      </w:r>
    </w:p>
    <w:p w14:paraId="4B304A42" w14:textId="77777777" w:rsidR="002B4500" w:rsidRPr="00AF74F9" w:rsidRDefault="002B4500" w:rsidP="00A70924"/>
    <w:p w14:paraId="3F86ED2E" w14:textId="4B97D59D" w:rsidR="00D82B63" w:rsidRPr="00AF74F9" w:rsidRDefault="00D82B63" w:rsidP="00D82B63">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30</w:t>
      </w:r>
      <w:r w:rsidR="00000F90" w:rsidRPr="00AF74F9">
        <w:rPr>
          <w:noProof/>
          <w:color w:val="auto"/>
        </w:rPr>
        <w:fldChar w:fldCharType="end"/>
      </w:r>
      <w:r w:rsidRPr="00AF74F9">
        <w:rPr>
          <w:color w:val="auto"/>
        </w:rPr>
        <w:t>. Estimated total relabelling costs for Scottish-produced products</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35"/>
        <w:gridCol w:w="3450"/>
        <w:gridCol w:w="3451"/>
      </w:tblGrid>
      <w:tr w:rsidR="002B4500" w14:paraId="2567C8E6" w14:textId="77777777" w:rsidTr="002B4500">
        <w:tc>
          <w:tcPr>
            <w:tcW w:w="2835" w:type="dxa"/>
            <w:tcBorders>
              <w:top w:val="single" w:sz="4" w:space="0" w:color="auto"/>
              <w:bottom w:val="single" w:sz="4" w:space="0" w:color="auto"/>
            </w:tcBorders>
          </w:tcPr>
          <w:p w14:paraId="295A654F" w14:textId="77777777" w:rsidR="002B4500" w:rsidRPr="00024663" w:rsidRDefault="002B4500" w:rsidP="00100744">
            <w:pPr>
              <w:rPr>
                <w:b/>
                <w:bCs/>
              </w:rPr>
            </w:pPr>
            <w:r w:rsidRPr="00024663">
              <w:rPr>
                <w:b/>
                <w:bCs/>
              </w:rPr>
              <w:t>Estimate</w:t>
            </w:r>
          </w:p>
        </w:tc>
        <w:tc>
          <w:tcPr>
            <w:tcW w:w="3450" w:type="dxa"/>
            <w:tcBorders>
              <w:top w:val="single" w:sz="4" w:space="0" w:color="auto"/>
              <w:bottom w:val="single" w:sz="4" w:space="0" w:color="auto"/>
            </w:tcBorders>
          </w:tcPr>
          <w:p w14:paraId="0BED5CF9" w14:textId="3A358A04" w:rsidR="002B4500" w:rsidRPr="00024663" w:rsidRDefault="002B4500" w:rsidP="00100744">
            <w:pPr>
              <w:rPr>
                <w:b/>
                <w:bCs/>
              </w:rPr>
            </w:pPr>
            <w:r w:rsidRPr="00024663">
              <w:rPr>
                <w:b/>
                <w:bCs/>
              </w:rPr>
              <w:t xml:space="preserve">Estimated </w:t>
            </w:r>
            <w:r>
              <w:rPr>
                <w:b/>
                <w:bCs/>
              </w:rPr>
              <w:t>Scottish</w:t>
            </w:r>
            <w:r w:rsidRPr="00024663">
              <w:rPr>
                <w:b/>
                <w:bCs/>
              </w:rPr>
              <w:t>-produced SKUs containing NWWF</w:t>
            </w:r>
          </w:p>
        </w:tc>
        <w:tc>
          <w:tcPr>
            <w:tcW w:w="3451" w:type="dxa"/>
            <w:tcBorders>
              <w:top w:val="single" w:sz="4" w:space="0" w:color="auto"/>
              <w:bottom w:val="single" w:sz="4" w:space="0" w:color="auto"/>
            </w:tcBorders>
          </w:tcPr>
          <w:p w14:paraId="2C1464B2" w14:textId="40E12E56" w:rsidR="002B4500" w:rsidRPr="00024663" w:rsidRDefault="002B4500" w:rsidP="00100744">
            <w:pPr>
              <w:rPr>
                <w:b/>
                <w:bCs/>
              </w:rPr>
            </w:pPr>
            <w:r w:rsidRPr="00024663">
              <w:rPr>
                <w:b/>
                <w:bCs/>
              </w:rPr>
              <w:t xml:space="preserve">Estimated total </w:t>
            </w:r>
            <w:r w:rsidR="00AB37EA">
              <w:rPr>
                <w:b/>
                <w:bCs/>
              </w:rPr>
              <w:t>Scottish</w:t>
            </w:r>
            <w:r>
              <w:rPr>
                <w:b/>
                <w:bCs/>
              </w:rPr>
              <w:t xml:space="preserve"> </w:t>
            </w:r>
            <w:r w:rsidRPr="00024663">
              <w:rPr>
                <w:b/>
                <w:bCs/>
              </w:rPr>
              <w:t xml:space="preserve">relabelling cost, £m </w:t>
            </w:r>
            <w:r w:rsidR="00D3513B">
              <w:rPr>
                <w:b/>
                <w:bCs/>
              </w:rPr>
              <w:t>2024</w:t>
            </w:r>
          </w:p>
        </w:tc>
      </w:tr>
      <w:tr w:rsidR="002B4500" w14:paraId="0601E54E" w14:textId="77777777" w:rsidTr="002B4500">
        <w:tc>
          <w:tcPr>
            <w:tcW w:w="2835" w:type="dxa"/>
            <w:tcBorders>
              <w:top w:val="single" w:sz="4" w:space="0" w:color="auto"/>
            </w:tcBorders>
          </w:tcPr>
          <w:p w14:paraId="1992D6EE" w14:textId="77777777" w:rsidR="002B4500" w:rsidRDefault="002B4500" w:rsidP="00100744">
            <w:r>
              <w:t>Low</w:t>
            </w:r>
          </w:p>
        </w:tc>
        <w:tc>
          <w:tcPr>
            <w:tcW w:w="3450" w:type="dxa"/>
            <w:tcBorders>
              <w:top w:val="single" w:sz="4" w:space="0" w:color="auto"/>
            </w:tcBorders>
          </w:tcPr>
          <w:p w14:paraId="314C24DB" w14:textId="276E7934" w:rsidR="002B4500" w:rsidRDefault="00F42CEF" w:rsidP="00100744">
            <w:r>
              <w:t>8</w:t>
            </w:r>
            <w:r w:rsidR="009F45A8">
              <w:t>53</w:t>
            </w:r>
          </w:p>
        </w:tc>
        <w:tc>
          <w:tcPr>
            <w:tcW w:w="3451" w:type="dxa"/>
            <w:tcBorders>
              <w:top w:val="single" w:sz="4" w:space="0" w:color="auto"/>
            </w:tcBorders>
          </w:tcPr>
          <w:p w14:paraId="512EA878" w14:textId="61FCF5D8" w:rsidR="002B4500" w:rsidRDefault="00FC71B7" w:rsidP="00100744">
            <w:r>
              <w:t>2.2</w:t>
            </w:r>
          </w:p>
        </w:tc>
      </w:tr>
      <w:tr w:rsidR="002B4500" w14:paraId="4D4A1510" w14:textId="77777777" w:rsidTr="002B4500">
        <w:tc>
          <w:tcPr>
            <w:tcW w:w="2835" w:type="dxa"/>
          </w:tcPr>
          <w:p w14:paraId="11C68F6C" w14:textId="77777777" w:rsidR="002B4500" w:rsidRDefault="002B4500" w:rsidP="00100744">
            <w:r>
              <w:t>Central</w:t>
            </w:r>
          </w:p>
        </w:tc>
        <w:tc>
          <w:tcPr>
            <w:tcW w:w="3450" w:type="dxa"/>
          </w:tcPr>
          <w:p w14:paraId="0978CA8D" w14:textId="334540A6" w:rsidR="002B4500" w:rsidRDefault="00F42CEF" w:rsidP="00100744">
            <w:r>
              <w:t>947</w:t>
            </w:r>
          </w:p>
        </w:tc>
        <w:tc>
          <w:tcPr>
            <w:tcW w:w="3451" w:type="dxa"/>
          </w:tcPr>
          <w:p w14:paraId="79FF2C0E" w14:textId="2D08753A" w:rsidR="002B4500" w:rsidRDefault="003C0BB8" w:rsidP="00100744">
            <w:r>
              <w:t>2.</w:t>
            </w:r>
            <w:r w:rsidR="00FC71B7">
              <w:t>4</w:t>
            </w:r>
          </w:p>
        </w:tc>
      </w:tr>
      <w:tr w:rsidR="002B4500" w14:paraId="32BDF002" w14:textId="77777777" w:rsidTr="002B4500">
        <w:tc>
          <w:tcPr>
            <w:tcW w:w="2835" w:type="dxa"/>
          </w:tcPr>
          <w:p w14:paraId="2E16E9F2" w14:textId="77777777" w:rsidR="002B4500" w:rsidRDefault="002B4500" w:rsidP="00100744">
            <w:r>
              <w:t>High</w:t>
            </w:r>
          </w:p>
        </w:tc>
        <w:tc>
          <w:tcPr>
            <w:tcW w:w="3450" w:type="dxa"/>
          </w:tcPr>
          <w:p w14:paraId="4019A84E" w14:textId="650D138C" w:rsidR="002B4500" w:rsidRDefault="00F42CEF" w:rsidP="00100744">
            <w:r>
              <w:t>1,</w:t>
            </w:r>
            <w:r w:rsidR="009F45A8">
              <w:t>797</w:t>
            </w:r>
          </w:p>
        </w:tc>
        <w:tc>
          <w:tcPr>
            <w:tcW w:w="3451" w:type="dxa"/>
          </w:tcPr>
          <w:p w14:paraId="335A8570" w14:textId="0C2FD00C" w:rsidR="002B4500" w:rsidRDefault="00FC71B7" w:rsidP="00100744">
            <w:r>
              <w:t>4.6</w:t>
            </w:r>
          </w:p>
        </w:tc>
      </w:tr>
    </w:tbl>
    <w:p w14:paraId="35F23EA7" w14:textId="77777777" w:rsidR="002B4500" w:rsidRDefault="002B4500" w:rsidP="00A70924"/>
    <w:p w14:paraId="4255367A" w14:textId="54975443" w:rsidR="00BB7807" w:rsidRDefault="00BB7807" w:rsidP="00A70924">
      <w:r>
        <w:t>It’s worth noting that these figures are likely to be an overestimate as some millers or manufacturers will have planned to make labelling changes anyway. The incremental cost of making the labelling change for folic acid will be much lower for those manufacturers that manage to align their relabelling cycle with changes to comply with these regulations.</w:t>
      </w:r>
    </w:p>
    <w:p w14:paraId="70C584D9" w14:textId="6EB61AF8" w:rsidR="00582D3E" w:rsidRDefault="746ED40B" w:rsidP="00B126F4">
      <w:pPr>
        <w:pStyle w:val="Heading3"/>
      </w:pPr>
      <w:bookmarkStart w:id="135" w:name="_Ref165036836"/>
      <w:r>
        <w:t>Package waste costs</w:t>
      </w:r>
      <w:bookmarkEnd w:id="135"/>
    </w:p>
    <w:p w14:paraId="2E7E3230" w14:textId="646E0A3C" w:rsidR="00EC7F55" w:rsidRDefault="00EC7F55" w:rsidP="00EC7F55">
      <w:r>
        <w:t xml:space="preserve">Some packaging </w:t>
      </w:r>
      <w:r w:rsidR="00E14755">
        <w:t xml:space="preserve">meant for products containing non-fortified NWWF </w:t>
      </w:r>
      <w:r>
        <w:t xml:space="preserve">will have to be discarded. This results in additional </w:t>
      </w:r>
      <w:r w:rsidR="00894F8B">
        <w:t xml:space="preserve">one-off </w:t>
      </w:r>
      <w:r>
        <w:t xml:space="preserve">costs for a business in the form of package waste costs. </w:t>
      </w:r>
    </w:p>
    <w:p w14:paraId="5F8126E4" w14:textId="77777777" w:rsidR="004C4A79" w:rsidRDefault="004C4A79" w:rsidP="00EC7F55"/>
    <w:p w14:paraId="6539E1AA" w14:textId="77777777" w:rsidR="00762163" w:rsidRDefault="004C4A79" w:rsidP="004C4A79">
      <w:r>
        <w:t>During DHSC’s engagement with the Food and Drink Federation</w:t>
      </w:r>
      <w:r w:rsidR="00DD4506">
        <w:t>, a number of businesses s</w:t>
      </w:r>
      <w:r>
        <w:t xml:space="preserve">tated that they order 12 </w:t>
      </w:r>
      <w:r w:rsidR="00DD4506">
        <w:t>weeks’ worth</w:t>
      </w:r>
      <w:r>
        <w:t xml:space="preserve"> of packaging at a time</w:t>
      </w:r>
      <w:r w:rsidR="00DD4506">
        <w:t xml:space="preserve">. Therefore, in a </w:t>
      </w:r>
      <w:r>
        <w:t xml:space="preserve">worst case scenario, they’d need to discard 12 </w:t>
      </w:r>
      <w:r w:rsidR="00DD4506">
        <w:t>weeks’ worth of packaging due to the labelling change</w:t>
      </w:r>
      <w:r>
        <w:t xml:space="preserve">. </w:t>
      </w:r>
      <w:r w:rsidR="00DD4506">
        <w:t>We’ve assumed that on average,</w:t>
      </w:r>
      <w:r>
        <w:t xml:space="preserve"> each </w:t>
      </w:r>
      <w:r w:rsidR="00DD4506">
        <w:t>business</w:t>
      </w:r>
      <w:r>
        <w:t xml:space="preserve"> has 6 </w:t>
      </w:r>
      <w:r w:rsidR="00DD4506">
        <w:t>weeks’ worth</w:t>
      </w:r>
      <w:r>
        <w:t xml:space="preserve"> </w:t>
      </w:r>
      <w:r w:rsidR="00DD4506">
        <w:t>in</w:t>
      </w:r>
      <w:r>
        <w:t xml:space="preserve"> stock at the point that they have to change to the new packaging. </w:t>
      </w:r>
    </w:p>
    <w:p w14:paraId="16DE6591" w14:textId="0704FBBB" w:rsidR="004C4A79" w:rsidRDefault="00293922" w:rsidP="004C4A79">
      <w:r>
        <w:t>DHSC’s engagement with the sector also suggested a package wastage cost of between £2,000 and £13,000 per SKU, with an average of £7,000 (in 2024 prices).</w:t>
      </w:r>
    </w:p>
    <w:p w14:paraId="6CEB3028" w14:textId="0B7584D2" w:rsidR="004C4A79" w:rsidRDefault="00D8624C" w:rsidP="004C4A79">
      <w:r>
        <w:t xml:space="preserve"> </w:t>
      </w:r>
    </w:p>
    <w:p w14:paraId="53F4D41B" w14:textId="61AB27D2" w:rsidR="004C4A79" w:rsidRDefault="004C4A79" w:rsidP="004C4A79">
      <w:r>
        <w:t xml:space="preserve">Taking the average of the industry </w:t>
      </w:r>
      <w:r w:rsidRPr="00AD0DF6">
        <w:rPr>
          <w:rFonts w:ascii="Arial" w:hAnsi="Arial" w:cs="Arial"/>
        </w:rPr>
        <w:t>estimates</w:t>
      </w:r>
      <w:r w:rsidR="00E806AC" w:rsidRPr="00AD0DF6">
        <w:rPr>
          <w:rStyle w:val="FootnoteReference"/>
          <w:rFonts w:ascii="Arial" w:hAnsi="Arial" w:cs="Arial"/>
          <w:sz w:val="24"/>
        </w:rPr>
        <w:footnoteReference w:id="23"/>
      </w:r>
      <w:r w:rsidRPr="00AD0DF6">
        <w:rPr>
          <w:rFonts w:ascii="Arial" w:hAnsi="Arial" w:cs="Arial"/>
        </w:rPr>
        <w:t xml:space="preserve"> su</w:t>
      </w:r>
      <w:r>
        <w:t>ggest</w:t>
      </w:r>
      <w:r w:rsidR="00BC46B5">
        <w:t>s</w:t>
      </w:r>
      <w:r>
        <w:t xml:space="preserve"> that the package wastage cost per SKU would be around £</w:t>
      </w:r>
      <w:r w:rsidR="00E806AC">
        <w:t>6,700</w:t>
      </w:r>
      <w:r>
        <w:t xml:space="preserve"> (2024 prices). The lowest estimate received was </w:t>
      </w:r>
      <w:r w:rsidR="002C75E1">
        <w:t>just over</w:t>
      </w:r>
      <w:r>
        <w:t xml:space="preserve"> £2,000 per SKU</w:t>
      </w:r>
      <w:r w:rsidR="0090190D">
        <w:t>,</w:t>
      </w:r>
      <w:r>
        <w:t xml:space="preserve"> and the highest estimate received was </w:t>
      </w:r>
      <w:r w:rsidR="0090190D">
        <w:t>just over</w:t>
      </w:r>
      <w:r>
        <w:t xml:space="preserve"> £13,000. Multiplying this range by our range of estimated SKUs that contain NWWF that are produced in </w:t>
      </w:r>
      <w:r w:rsidR="0096345B">
        <w:t>Scotland</w:t>
      </w:r>
      <w:r>
        <w:t xml:space="preserve"> (</w:t>
      </w:r>
      <w:r w:rsidR="0096345B">
        <w:t>853</w:t>
      </w:r>
      <w:r>
        <w:t xml:space="preserve"> to 1</w:t>
      </w:r>
      <w:r w:rsidR="0096345B">
        <w:t>,797</w:t>
      </w:r>
      <w:r>
        <w:t>) gives the total wastage costs below:</w:t>
      </w:r>
    </w:p>
    <w:p w14:paraId="17AD12EF" w14:textId="77777777" w:rsidR="00894F8B" w:rsidRDefault="00894F8B" w:rsidP="00EC7F55"/>
    <w:p w14:paraId="36AD52A4" w14:textId="2624C5D3" w:rsidR="007864F7" w:rsidRPr="00AF74F9" w:rsidRDefault="007864F7" w:rsidP="007864F7">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31</w:t>
      </w:r>
      <w:r w:rsidR="00000F90" w:rsidRPr="00AF74F9">
        <w:rPr>
          <w:noProof/>
          <w:color w:val="auto"/>
        </w:rPr>
        <w:fldChar w:fldCharType="end"/>
      </w:r>
      <w:r w:rsidRPr="00AF74F9">
        <w:rPr>
          <w:color w:val="auto"/>
        </w:rPr>
        <w:t>. Estimated total package waste costs for Scottish-produced products</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03"/>
        <w:gridCol w:w="2670"/>
        <w:gridCol w:w="2227"/>
        <w:gridCol w:w="2646"/>
      </w:tblGrid>
      <w:tr w:rsidR="00F36499" w14:paraId="3754F972" w14:textId="77777777" w:rsidTr="00AD0DF6">
        <w:tc>
          <w:tcPr>
            <w:tcW w:w="2203" w:type="dxa"/>
            <w:tcBorders>
              <w:top w:val="single" w:sz="4" w:space="0" w:color="auto"/>
              <w:bottom w:val="single" w:sz="4" w:space="0" w:color="auto"/>
            </w:tcBorders>
          </w:tcPr>
          <w:p w14:paraId="3D4B6876" w14:textId="77777777" w:rsidR="00F36499" w:rsidRPr="00024663" w:rsidRDefault="00F36499" w:rsidP="00100744">
            <w:pPr>
              <w:rPr>
                <w:b/>
                <w:bCs/>
              </w:rPr>
            </w:pPr>
            <w:r w:rsidRPr="00024663">
              <w:rPr>
                <w:b/>
                <w:bCs/>
              </w:rPr>
              <w:t>Estimate</w:t>
            </w:r>
          </w:p>
        </w:tc>
        <w:tc>
          <w:tcPr>
            <w:tcW w:w="2670" w:type="dxa"/>
            <w:tcBorders>
              <w:top w:val="single" w:sz="4" w:space="0" w:color="auto"/>
              <w:bottom w:val="single" w:sz="4" w:space="0" w:color="auto"/>
            </w:tcBorders>
          </w:tcPr>
          <w:p w14:paraId="10F339C8" w14:textId="5303C5F1" w:rsidR="00F36499" w:rsidRPr="00024663" w:rsidRDefault="00F36499" w:rsidP="00100744">
            <w:pPr>
              <w:rPr>
                <w:b/>
                <w:bCs/>
              </w:rPr>
            </w:pPr>
            <w:r w:rsidRPr="00024663">
              <w:rPr>
                <w:b/>
                <w:bCs/>
              </w:rPr>
              <w:t xml:space="preserve">Estimated </w:t>
            </w:r>
            <w:r w:rsidR="004C099B">
              <w:rPr>
                <w:b/>
                <w:bCs/>
              </w:rPr>
              <w:t>Scottish</w:t>
            </w:r>
            <w:r w:rsidRPr="00024663">
              <w:rPr>
                <w:b/>
                <w:bCs/>
              </w:rPr>
              <w:t>-produced SKUs containing NWWF</w:t>
            </w:r>
          </w:p>
        </w:tc>
        <w:tc>
          <w:tcPr>
            <w:tcW w:w="2227" w:type="dxa"/>
            <w:tcBorders>
              <w:top w:val="single" w:sz="4" w:space="0" w:color="auto"/>
              <w:bottom w:val="single" w:sz="4" w:space="0" w:color="auto"/>
            </w:tcBorders>
          </w:tcPr>
          <w:p w14:paraId="5A79E6E9" w14:textId="1E2D27C1" w:rsidR="00F36499" w:rsidRPr="00024663" w:rsidRDefault="00FE566E" w:rsidP="00100744">
            <w:pPr>
              <w:rPr>
                <w:b/>
                <w:bCs/>
              </w:rPr>
            </w:pPr>
            <w:r>
              <w:rPr>
                <w:b/>
                <w:bCs/>
              </w:rPr>
              <w:t>Assumed package waste cost, £ 2024</w:t>
            </w:r>
          </w:p>
        </w:tc>
        <w:tc>
          <w:tcPr>
            <w:tcW w:w="2646" w:type="dxa"/>
            <w:tcBorders>
              <w:top w:val="single" w:sz="4" w:space="0" w:color="auto"/>
              <w:bottom w:val="single" w:sz="4" w:space="0" w:color="auto"/>
            </w:tcBorders>
          </w:tcPr>
          <w:p w14:paraId="5DFC68FF" w14:textId="38637485" w:rsidR="00F36499" w:rsidRPr="00024663" w:rsidRDefault="00F36499" w:rsidP="00100744">
            <w:pPr>
              <w:rPr>
                <w:b/>
                <w:bCs/>
              </w:rPr>
            </w:pPr>
            <w:r w:rsidRPr="00024663">
              <w:rPr>
                <w:b/>
                <w:bCs/>
              </w:rPr>
              <w:t xml:space="preserve">Estimated total </w:t>
            </w:r>
            <w:r>
              <w:rPr>
                <w:b/>
                <w:bCs/>
              </w:rPr>
              <w:t>Scottish package waste</w:t>
            </w:r>
            <w:r w:rsidRPr="00024663">
              <w:rPr>
                <w:b/>
                <w:bCs/>
              </w:rPr>
              <w:t xml:space="preserve"> cost, £m </w:t>
            </w:r>
            <w:r>
              <w:rPr>
                <w:b/>
                <w:bCs/>
              </w:rPr>
              <w:t>2024</w:t>
            </w:r>
          </w:p>
        </w:tc>
      </w:tr>
      <w:tr w:rsidR="00F36499" w14:paraId="10644AA9" w14:textId="77777777" w:rsidTr="00AD0DF6">
        <w:tc>
          <w:tcPr>
            <w:tcW w:w="2203" w:type="dxa"/>
            <w:tcBorders>
              <w:top w:val="single" w:sz="4" w:space="0" w:color="auto"/>
            </w:tcBorders>
          </w:tcPr>
          <w:p w14:paraId="51F25917" w14:textId="77777777" w:rsidR="00F36499" w:rsidRDefault="00F36499" w:rsidP="00A10A73">
            <w:r>
              <w:t>Low</w:t>
            </w:r>
          </w:p>
        </w:tc>
        <w:tc>
          <w:tcPr>
            <w:tcW w:w="2670" w:type="dxa"/>
            <w:tcBorders>
              <w:top w:val="single" w:sz="4" w:space="0" w:color="auto"/>
            </w:tcBorders>
          </w:tcPr>
          <w:p w14:paraId="5950968E" w14:textId="51EBF38B" w:rsidR="00F36499" w:rsidRDefault="00F36499" w:rsidP="00A10A73">
            <w:r>
              <w:t>853</w:t>
            </w:r>
          </w:p>
        </w:tc>
        <w:tc>
          <w:tcPr>
            <w:tcW w:w="2227" w:type="dxa"/>
            <w:tcBorders>
              <w:top w:val="single" w:sz="4" w:space="0" w:color="auto"/>
            </w:tcBorders>
          </w:tcPr>
          <w:p w14:paraId="14E74F87" w14:textId="697F3A0B" w:rsidR="00F36499" w:rsidRDefault="00AD76E7" w:rsidP="00A10A73">
            <w:r>
              <w:t>2,</w:t>
            </w:r>
            <w:r w:rsidR="00775E23">
              <w:t>038</w:t>
            </w:r>
          </w:p>
        </w:tc>
        <w:tc>
          <w:tcPr>
            <w:tcW w:w="2646" w:type="dxa"/>
            <w:tcBorders>
              <w:top w:val="single" w:sz="4" w:space="0" w:color="auto"/>
            </w:tcBorders>
          </w:tcPr>
          <w:p w14:paraId="03AC9F34" w14:textId="75E6CF49" w:rsidR="00F36499" w:rsidRDefault="00F36499" w:rsidP="00A10A73">
            <w:r>
              <w:t>1.</w:t>
            </w:r>
            <w:r w:rsidR="00A05925">
              <w:t>7</w:t>
            </w:r>
          </w:p>
        </w:tc>
      </w:tr>
      <w:tr w:rsidR="00F36499" w14:paraId="3925B011" w14:textId="77777777" w:rsidTr="00AD0DF6">
        <w:tc>
          <w:tcPr>
            <w:tcW w:w="2203" w:type="dxa"/>
          </w:tcPr>
          <w:p w14:paraId="7290F4C8" w14:textId="77777777" w:rsidR="00F36499" w:rsidRDefault="00F36499" w:rsidP="00A10A73">
            <w:r>
              <w:t>Central</w:t>
            </w:r>
          </w:p>
        </w:tc>
        <w:tc>
          <w:tcPr>
            <w:tcW w:w="2670" w:type="dxa"/>
          </w:tcPr>
          <w:p w14:paraId="3E0B901F" w14:textId="4AFA7193" w:rsidR="00F36499" w:rsidRDefault="00F36499" w:rsidP="00A10A73">
            <w:r>
              <w:t>947</w:t>
            </w:r>
          </w:p>
        </w:tc>
        <w:tc>
          <w:tcPr>
            <w:tcW w:w="2227" w:type="dxa"/>
          </w:tcPr>
          <w:p w14:paraId="7FC78402" w14:textId="0ED25802" w:rsidR="00F36499" w:rsidRDefault="00775E23" w:rsidP="00A10A73">
            <w:r>
              <w:t>6,688</w:t>
            </w:r>
          </w:p>
        </w:tc>
        <w:tc>
          <w:tcPr>
            <w:tcW w:w="2646" w:type="dxa"/>
          </w:tcPr>
          <w:p w14:paraId="5CA4CBA7" w14:textId="32AB07ED" w:rsidR="00F36499" w:rsidRDefault="00B93361" w:rsidP="00A10A73">
            <w:r>
              <w:t>6.3</w:t>
            </w:r>
          </w:p>
        </w:tc>
      </w:tr>
      <w:tr w:rsidR="00F36499" w14:paraId="05588220" w14:textId="77777777" w:rsidTr="00AD0DF6">
        <w:tc>
          <w:tcPr>
            <w:tcW w:w="2203" w:type="dxa"/>
          </w:tcPr>
          <w:p w14:paraId="75E05350" w14:textId="77777777" w:rsidR="00F36499" w:rsidRDefault="00F36499" w:rsidP="00A10A73">
            <w:r>
              <w:t>High</w:t>
            </w:r>
          </w:p>
        </w:tc>
        <w:tc>
          <w:tcPr>
            <w:tcW w:w="2670" w:type="dxa"/>
          </w:tcPr>
          <w:p w14:paraId="39E92DC8" w14:textId="36153F42" w:rsidR="00F36499" w:rsidRDefault="00F36499" w:rsidP="00A10A73">
            <w:r>
              <w:t>1,797</w:t>
            </w:r>
          </w:p>
        </w:tc>
        <w:tc>
          <w:tcPr>
            <w:tcW w:w="2227" w:type="dxa"/>
          </w:tcPr>
          <w:p w14:paraId="3C858C16" w14:textId="6635B932" w:rsidR="00F36499" w:rsidRDefault="00E16C2B" w:rsidP="00A10A73">
            <w:r>
              <w:t>13</w:t>
            </w:r>
            <w:r w:rsidR="00775E23">
              <w:t>,248</w:t>
            </w:r>
          </w:p>
        </w:tc>
        <w:tc>
          <w:tcPr>
            <w:tcW w:w="2646" w:type="dxa"/>
          </w:tcPr>
          <w:p w14:paraId="418E261A" w14:textId="665BD1DB" w:rsidR="00F36499" w:rsidRDefault="00B93361" w:rsidP="00A10A73">
            <w:r>
              <w:t>23.8</w:t>
            </w:r>
          </w:p>
        </w:tc>
      </w:tr>
    </w:tbl>
    <w:p w14:paraId="33EB8653" w14:textId="77777777" w:rsidR="009179B2" w:rsidRDefault="009179B2" w:rsidP="009179B2"/>
    <w:p w14:paraId="4C69AC0B" w14:textId="19B0EFC8" w:rsidR="00582D3E" w:rsidRDefault="185767C0" w:rsidP="009179B2">
      <w:pPr>
        <w:pStyle w:val="Heading3"/>
      </w:pPr>
      <w:bookmarkStart w:id="136" w:name="_Ref164932599"/>
      <w:r>
        <w:t>Fortification costs</w:t>
      </w:r>
      <w:bookmarkEnd w:id="136"/>
    </w:p>
    <w:p w14:paraId="104B651E" w14:textId="7B8B5172" w:rsidR="00B4708B" w:rsidRDefault="007C233B" w:rsidP="00B4708B">
      <w:r>
        <w:t>The purchase of folic acid for fortification purposes will incur an additional cost for flour millers. It is understood that the folic acid will be added to the pre-mix that millers already buy for the existing mandatory fortification requirements</w:t>
      </w:r>
      <w:r w:rsidR="00C65C7A">
        <w:t xml:space="preserve"> for NWWF – calcium, iron, thiamine, and niacin. Evidence received during the FSA consultation from a major pre-mix supplier suggests that the incremental cost of adding the folic acid to the existing pre-mix will be £595 per tonne of pre-mix. Based on the </w:t>
      </w:r>
      <w:r w:rsidR="00967AD5">
        <w:t>250</w:t>
      </w:r>
      <w:r w:rsidR="000C1F04">
        <w:rPr>
          <w:rFonts w:cstheme="minorHAnsi"/>
        </w:rPr>
        <w:t>μ</w:t>
      </w:r>
      <w:r w:rsidR="000C1F04">
        <w:t xml:space="preserve">g folic acid concentration per 100g NWWF flour, this equates to an incremental cost of </w:t>
      </w:r>
      <w:r w:rsidR="00F77F67">
        <w:t xml:space="preserve">16p </w:t>
      </w:r>
      <w:r w:rsidR="000C1F04">
        <w:t>per tonne of finished flour, or roughly 0.08p for an 800g loaf of bread</w:t>
      </w:r>
      <w:r w:rsidR="00D35A7B">
        <w:t xml:space="preserve"> (in </w:t>
      </w:r>
      <w:r w:rsidR="00F77F67">
        <w:t xml:space="preserve">2024 </w:t>
      </w:r>
      <w:r w:rsidR="00D35A7B">
        <w:t>prices).</w:t>
      </w:r>
    </w:p>
    <w:p w14:paraId="0AC3C59A" w14:textId="77777777" w:rsidR="001258CA" w:rsidRDefault="001258CA" w:rsidP="00B4708B"/>
    <w:p w14:paraId="3C91DD66" w14:textId="0741FB9C" w:rsidR="004E56F9" w:rsidRDefault="00DF3EA1" w:rsidP="00B4708B">
      <w:r>
        <w:t>T</w:t>
      </w:r>
      <w:r w:rsidR="001258CA">
        <w:t>he UK</w:t>
      </w:r>
      <w:r>
        <w:t xml:space="preserve"> as a whole</w:t>
      </w:r>
      <w:r w:rsidR="001258CA">
        <w:t xml:space="preserve"> produced </w:t>
      </w:r>
      <w:r w:rsidR="00590560">
        <w:t xml:space="preserve">an estimated </w:t>
      </w:r>
      <w:r>
        <w:t xml:space="preserve">4,528 thousand tonnes of flour in 2020-21 </w:t>
      </w:r>
      <w:hyperlink r:id="rId43" w:history="1">
        <w:r w:rsidRPr="00AF74F9">
          <w:rPr>
            <w:rStyle w:val="Hyperlink"/>
            <w:rFonts w:cstheme="minorBidi"/>
            <w:color w:val="0070C0"/>
          </w:rPr>
          <w:t>according to the UK Flour Millers’ Association</w:t>
        </w:r>
      </w:hyperlink>
      <w:r w:rsidR="00E512F8" w:rsidRPr="00AF74F9">
        <w:rPr>
          <w:color w:val="0070C0"/>
        </w:rPr>
        <w:t xml:space="preserve"> </w:t>
      </w:r>
      <w:r w:rsidR="00E512F8">
        <w:t>(UKFMA)</w:t>
      </w:r>
      <w:r>
        <w:t>.</w:t>
      </w:r>
      <w:r w:rsidR="00E512F8">
        <w:t xml:space="preserve"> The UKFMA also </w:t>
      </w:r>
      <w:r w:rsidR="004E56F9">
        <w:t>provides data on the flour type produced</w:t>
      </w:r>
      <w:r w:rsidR="00B40DA1">
        <w:t>, shown below.</w:t>
      </w:r>
    </w:p>
    <w:p w14:paraId="3F775228" w14:textId="77777777" w:rsidR="00762163" w:rsidRDefault="00762163" w:rsidP="00B4708B"/>
    <w:p w14:paraId="56347415" w14:textId="77777777" w:rsidR="00762163" w:rsidRDefault="00762163" w:rsidP="00B4708B"/>
    <w:p w14:paraId="43DDCCCD" w14:textId="77777777" w:rsidR="00762163" w:rsidRDefault="00762163" w:rsidP="00B4708B"/>
    <w:p w14:paraId="2ECCFF90" w14:textId="77777777" w:rsidR="00762163" w:rsidRDefault="00762163" w:rsidP="00B4708B"/>
    <w:p w14:paraId="6959AB45" w14:textId="77777777" w:rsidR="00762163" w:rsidRDefault="00762163" w:rsidP="00B4708B"/>
    <w:p w14:paraId="68E88953" w14:textId="77777777" w:rsidR="00762163" w:rsidRDefault="00762163" w:rsidP="00B4708B"/>
    <w:p w14:paraId="77BA2EE4" w14:textId="77777777" w:rsidR="00762163" w:rsidRDefault="00762163" w:rsidP="00B4708B"/>
    <w:p w14:paraId="3FA8E4D4" w14:textId="77777777" w:rsidR="00762163" w:rsidRDefault="00762163" w:rsidP="00B4708B"/>
    <w:p w14:paraId="6402137E" w14:textId="77777777" w:rsidR="00762163" w:rsidRDefault="00762163" w:rsidP="00B4708B"/>
    <w:p w14:paraId="6998EA3A" w14:textId="77777777" w:rsidR="00762163" w:rsidRDefault="00762163" w:rsidP="00B4708B"/>
    <w:p w14:paraId="4079C084" w14:textId="77777777" w:rsidR="004E56F9" w:rsidRDefault="004E56F9" w:rsidP="00B4708B"/>
    <w:p w14:paraId="498534F6" w14:textId="50F1A253" w:rsidR="00162C05" w:rsidRPr="00AF74F9" w:rsidRDefault="00162C05" w:rsidP="00162C05">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32</w:t>
      </w:r>
      <w:r w:rsidR="00000F90" w:rsidRPr="00AF74F9">
        <w:rPr>
          <w:noProof/>
          <w:color w:val="auto"/>
        </w:rPr>
        <w:fldChar w:fldCharType="end"/>
      </w:r>
      <w:r w:rsidRPr="00AF74F9">
        <w:rPr>
          <w:color w:val="auto"/>
        </w:rPr>
        <w:t>. Types of flour produced by UK flour millers, 2020-21</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873"/>
        <w:gridCol w:w="4873"/>
      </w:tblGrid>
      <w:tr w:rsidR="00590560" w14:paraId="7C1DB9DE" w14:textId="77777777" w:rsidTr="00162C05">
        <w:tc>
          <w:tcPr>
            <w:tcW w:w="2500" w:type="pct"/>
            <w:tcBorders>
              <w:top w:val="single" w:sz="4" w:space="0" w:color="auto"/>
              <w:bottom w:val="single" w:sz="4" w:space="0" w:color="auto"/>
            </w:tcBorders>
          </w:tcPr>
          <w:p w14:paraId="2056DE20" w14:textId="5D0A606C" w:rsidR="00590560" w:rsidRPr="00B40DA1" w:rsidRDefault="00B40DA1" w:rsidP="00B4708B">
            <w:pPr>
              <w:rPr>
                <w:b/>
                <w:bCs/>
              </w:rPr>
            </w:pPr>
            <w:r w:rsidRPr="00B40DA1">
              <w:rPr>
                <w:b/>
                <w:bCs/>
              </w:rPr>
              <w:t>Flour type</w:t>
            </w:r>
          </w:p>
        </w:tc>
        <w:tc>
          <w:tcPr>
            <w:tcW w:w="2500" w:type="pct"/>
            <w:tcBorders>
              <w:top w:val="single" w:sz="4" w:space="0" w:color="auto"/>
              <w:bottom w:val="single" w:sz="4" w:space="0" w:color="auto"/>
            </w:tcBorders>
          </w:tcPr>
          <w:p w14:paraId="3F942ADF" w14:textId="0AADD3D2" w:rsidR="00590560" w:rsidRPr="00590560" w:rsidRDefault="00590560" w:rsidP="00B4708B">
            <w:pPr>
              <w:rPr>
                <w:b/>
                <w:bCs/>
              </w:rPr>
            </w:pPr>
            <w:r w:rsidRPr="00590560">
              <w:rPr>
                <w:b/>
                <w:bCs/>
              </w:rPr>
              <w:t>2020-21</w:t>
            </w:r>
            <w:r w:rsidR="00162C05">
              <w:rPr>
                <w:b/>
                <w:bCs/>
              </w:rPr>
              <w:t xml:space="preserve"> production (%)</w:t>
            </w:r>
          </w:p>
        </w:tc>
      </w:tr>
      <w:tr w:rsidR="00590560" w14:paraId="3175FD92" w14:textId="77777777" w:rsidTr="00162C05">
        <w:tc>
          <w:tcPr>
            <w:tcW w:w="2500" w:type="pct"/>
            <w:tcBorders>
              <w:top w:val="single" w:sz="4" w:space="0" w:color="auto"/>
            </w:tcBorders>
          </w:tcPr>
          <w:p w14:paraId="1B7064B9" w14:textId="566DD4B1" w:rsidR="00590560" w:rsidRDefault="00590560" w:rsidP="00B4708B">
            <w:r>
              <w:t>White breadmaking</w:t>
            </w:r>
          </w:p>
        </w:tc>
        <w:tc>
          <w:tcPr>
            <w:tcW w:w="2500" w:type="pct"/>
            <w:tcBorders>
              <w:top w:val="single" w:sz="4" w:space="0" w:color="auto"/>
            </w:tcBorders>
          </w:tcPr>
          <w:p w14:paraId="41D4D66A" w14:textId="193AD788" w:rsidR="00590560" w:rsidRDefault="00590560" w:rsidP="00B4708B">
            <w:r>
              <w:t>52.2</w:t>
            </w:r>
          </w:p>
        </w:tc>
      </w:tr>
      <w:tr w:rsidR="00590560" w14:paraId="7294B620" w14:textId="77777777" w:rsidTr="00162C05">
        <w:tc>
          <w:tcPr>
            <w:tcW w:w="2500" w:type="pct"/>
          </w:tcPr>
          <w:p w14:paraId="168D91D3" w14:textId="232F1611" w:rsidR="00590560" w:rsidRDefault="00590560" w:rsidP="00B4708B">
            <w:r>
              <w:t>Brown breadmaking</w:t>
            </w:r>
          </w:p>
        </w:tc>
        <w:tc>
          <w:tcPr>
            <w:tcW w:w="2500" w:type="pct"/>
          </w:tcPr>
          <w:p w14:paraId="501FFF94" w14:textId="33B618E2" w:rsidR="00590560" w:rsidRDefault="009D2FD2" w:rsidP="00B4708B">
            <w:r>
              <w:t>1.1</w:t>
            </w:r>
          </w:p>
        </w:tc>
      </w:tr>
      <w:tr w:rsidR="00162C05" w14:paraId="4E1A40A7" w14:textId="77777777" w:rsidTr="00162C05">
        <w:tc>
          <w:tcPr>
            <w:tcW w:w="2500" w:type="pct"/>
          </w:tcPr>
          <w:p w14:paraId="039B995F" w14:textId="1575ED4B" w:rsidR="00162C05" w:rsidRDefault="00162C05" w:rsidP="00162C05">
            <w:r>
              <w:t>Wholemeal breadmaking</w:t>
            </w:r>
          </w:p>
        </w:tc>
        <w:tc>
          <w:tcPr>
            <w:tcW w:w="2500" w:type="pct"/>
          </w:tcPr>
          <w:p w14:paraId="03577B1A" w14:textId="08CDA938" w:rsidR="00162C05" w:rsidRDefault="00162C05" w:rsidP="00162C05">
            <w:r>
              <w:t>4.1</w:t>
            </w:r>
          </w:p>
        </w:tc>
      </w:tr>
      <w:tr w:rsidR="00162C05" w14:paraId="2A71FD7D" w14:textId="77777777" w:rsidTr="00162C05">
        <w:tc>
          <w:tcPr>
            <w:tcW w:w="2500" w:type="pct"/>
          </w:tcPr>
          <w:p w14:paraId="4E1BE089" w14:textId="30F41207" w:rsidR="00162C05" w:rsidRDefault="00162C05" w:rsidP="00162C05">
            <w:r>
              <w:t>Biscuit</w:t>
            </w:r>
          </w:p>
        </w:tc>
        <w:tc>
          <w:tcPr>
            <w:tcW w:w="2500" w:type="pct"/>
          </w:tcPr>
          <w:p w14:paraId="1E81CBCD" w14:textId="54E16E5B" w:rsidR="00162C05" w:rsidRDefault="00162C05" w:rsidP="00162C05">
            <w:r>
              <w:t>10.2</w:t>
            </w:r>
          </w:p>
        </w:tc>
      </w:tr>
      <w:tr w:rsidR="00162C05" w14:paraId="20DDA7FB" w14:textId="77777777" w:rsidTr="00162C05">
        <w:tc>
          <w:tcPr>
            <w:tcW w:w="2500" w:type="pct"/>
          </w:tcPr>
          <w:p w14:paraId="3203CB92" w14:textId="2342BD89" w:rsidR="00162C05" w:rsidRDefault="00162C05" w:rsidP="00162C05">
            <w:r>
              <w:t>Cake</w:t>
            </w:r>
          </w:p>
        </w:tc>
        <w:tc>
          <w:tcPr>
            <w:tcW w:w="2500" w:type="pct"/>
          </w:tcPr>
          <w:p w14:paraId="56A55C95" w14:textId="67538EEB" w:rsidR="00162C05" w:rsidRDefault="00162C05" w:rsidP="00162C05">
            <w:r>
              <w:t>1.7</w:t>
            </w:r>
          </w:p>
        </w:tc>
      </w:tr>
      <w:tr w:rsidR="00162C05" w14:paraId="08D87F1B" w14:textId="77777777" w:rsidTr="00162C05">
        <w:tc>
          <w:tcPr>
            <w:tcW w:w="2500" w:type="pct"/>
          </w:tcPr>
          <w:p w14:paraId="0AF1935D" w14:textId="39D74FD0" w:rsidR="00162C05" w:rsidRDefault="00162C05" w:rsidP="00162C05">
            <w:r>
              <w:t>Pre-packed (household flour)</w:t>
            </w:r>
          </w:p>
        </w:tc>
        <w:tc>
          <w:tcPr>
            <w:tcW w:w="2500" w:type="pct"/>
          </w:tcPr>
          <w:p w14:paraId="70AF1C2B" w14:textId="0B9EC2DD" w:rsidR="00162C05" w:rsidRDefault="00162C05" w:rsidP="00162C05">
            <w:r>
              <w:t>4.5</w:t>
            </w:r>
          </w:p>
        </w:tc>
      </w:tr>
      <w:tr w:rsidR="00162C05" w14:paraId="0D1394F2" w14:textId="77777777" w:rsidTr="00162C05">
        <w:tc>
          <w:tcPr>
            <w:tcW w:w="2500" w:type="pct"/>
          </w:tcPr>
          <w:p w14:paraId="5CAC1F7A" w14:textId="524567D9" w:rsidR="00162C05" w:rsidRDefault="00162C05" w:rsidP="00162C05">
            <w:r>
              <w:t>Food ingredient</w:t>
            </w:r>
          </w:p>
        </w:tc>
        <w:tc>
          <w:tcPr>
            <w:tcW w:w="2500" w:type="pct"/>
          </w:tcPr>
          <w:p w14:paraId="52406FF3" w14:textId="64A64491" w:rsidR="00162C05" w:rsidRDefault="00162C05" w:rsidP="00162C05">
            <w:r>
              <w:t>8.9</w:t>
            </w:r>
          </w:p>
        </w:tc>
      </w:tr>
      <w:tr w:rsidR="00162C05" w14:paraId="2B1F5346" w14:textId="77777777" w:rsidTr="00162C05">
        <w:tc>
          <w:tcPr>
            <w:tcW w:w="2500" w:type="pct"/>
            <w:tcBorders>
              <w:bottom w:val="single" w:sz="4" w:space="0" w:color="auto"/>
            </w:tcBorders>
          </w:tcPr>
          <w:p w14:paraId="050B8AAE" w14:textId="315CFCA4" w:rsidR="00162C05" w:rsidRDefault="00162C05" w:rsidP="00162C05">
            <w:r>
              <w:t>Starch manufacture and other</w:t>
            </w:r>
          </w:p>
        </w:tc>
        <w:tc>
          <w:tcPr>
            <w:tcW w:w="2500" w:type="pct"/>
            <w:tcBorders>
              <w:bottom w:val="single" w:sz="4" w:space="0" w:color="auto"/>
            </w:tcBorders>
          </w:tcPr>
          <w:p w14:paraId="26D3EC5C" w14:textId="59A155ED" w:rsidR="00162C05" w:rsidRPr="00162C05" w:rsidRDefault="00162C05" w:rsidP="00162C05">
            <w:r w:rsidRPr="00162C05">
              <w:t>17.2</w:t>
            </w:r>
          </w:p>
        </w:tc>
      </w:tr>
      <w:tr w:rsidR="00590560" w14:paraId="4442F2E4" w14:textId="77777777" w:rsidTr="00162C05">
        <w:tc>
          <w:tcPr>
            <w:tcW w:w="2500" w:type="pct"/>
            <w:tcBorders>
              <w:top w:val="single" w:sz="4" w:space="0" w:color="auto"/>
              <w:bottom w:val="single" w:sz="4" w:space="0" w:color="auto"/>
            </w:tcBorders>
          </w:tcPr>
          <w:p w14:paraId="48BD4F8A" w14:textId="2B9B6F6A" w:rsidR="00590560" w:rsidRPr="00590560" w:rsidRDefault="00590560" w:rsidP="00B4708B">
            <w:pPr>
              <w:rPr>
                <w:b/>
                <w:bCs/>
              </w:rPr>
            </w:pPr>
            <w:r w:rsidRPr="00590560">
              <w:rPr>
                <w:b/>
                <w:bCs/>
              </w:rPr>
              <w:t>Total</w:t>
            </w:r>
          </w:p>
        </w:tc>
        <w:tc>
          <w:tcPr>
            <w:tcW w:w="2500" w:type="pct"/>
            <w:tcBorders>
              <w:top w:val="single" w:sz="4" w:space="0" w:color="auto"/>
              <w:bottom w:val="single" w:sz="4" w:space="0" w:color="auto"/>
            </w:tcBorders>
          </w:tcPr>
          <w:p w14:paraId="21A14E3B" w14:textId="4C3C92FA" w:rsidR="00590560" w:rsidRPr="00590560" w:rsidRDefault="00162C05" w:rsidP="00B4708B">
            <w:pPr>
              <w:rPr>
                <w:b/>
                <w:bCs/>
              </w:rPr>
            </w:pPr>
            <w:r>
              <w:rPr>
                <w:b/>
                <w:bCs/>
              </w:rPr>
              <w:t>100</w:t>
            </w:r>
          </w:p>
        </w:tc>
      </w:tr>
    </w:tbl>
    <w:p w14:paraId="1087789A" w14:textId="5A884BD9" w:rsidR="00DF3EA1" w:rsidRPr="009D2FD2" w:rsidRDefault="009D2FD2" w:rsidP="00B40DA1">
      <w:pPr>
        <w:jc w:val="right"/>
        <w:rPr>
          <w:i/>
          <w:iCs/>
          <w:sz w:val="20"/>
          <w:szCs w:val="20"/>
        </w:rPr>
      </w:pPr>
      <w:r w:rsidRPr="009D2FD2">
        <w:rPr>
          <w:sz w:val="20"/>
          <w:szCs w:val="20"/>
        </w:rPr>
        <w:t xml:space="preserve">Source: UK Flour Millers Association, </w:t>
      </w:r>
      <w:hyperlink r:id="rId44" w:history="1">
        <w:r w:rsidRPr="007F7B64">
          <w:rPr>
            <w:rStyle w:val="Hyperlink"/>
            <w:rFonts w:cstheme="minorBidi"/>
            <w:i/>
            <w:iCs/>
            <w:color w:val="0070C0"/>
            <w:sz w:val="20"/>
            <w:szCs w:val="20"/>
          </w:rPr>
          <w:t>Flour Milling in the UK: Facts and Figures</w:t>
        </w:r>
      </w:hyperlink>
      <w:r w:rsidRPr="009D2FD2">
        <w:rPr>
          <w:sz w:val="20"/>
          <w:szCs w:val="20"/>
        </w:rPr>
        <w:t>, May 2021.</w:t>
      </w:r>
    </w:p>
    <w:p w14:paraId="4E814E0D" w14:textId="77777777" w:rsidR="00DF3EA1" w:rsidRDefault="00DF3EA1" w:rsidP="00B4708B"/>
    <w:p w14:paraId="0BB9B491" w14:textId="04AE280E" w:rsidR="003125B6" w:rsidRDefault="00921842" w:rsidP="00B4708B">
      <w:r>
        <w:t xml:space="preserve">For the purpose of this </w:t>
      </w:r>
      <w:r w:rsidRPr="009477D0">
        <w:t xml:space="preserve">analysis, we assume that </w:t>
      </w:r>
      <w:r w:rsidR="00F6237F" w:rsidRPr="009477D0">
        <w:t>all categories of flour except brown and wholemeal breadmaking will contain N</w:t>
      </w:r>
      <w:r w:rsidR="00D90603" w:rsidRPr="009477D0">
        <w:t>WWF</w:t>
      </w:r>
      <w:r w:rsidR="009477D0" w:rsidRPr="009477D0">
        <w:t xml:space="preserve"> (A36)</w:t>
      </w:r>
      <w:r w:rsidR="00BD2016">
        <w:t xml:space="preserve"> – meaning roughly 94.</w:t>
      </w:r>
      <w:r w:rsidR="001F66A5">
        <w:t>7</w:t>
      </w:r>
      <w:r w:rsidR="00BD2016">
        <w:t xml:space="preserve">% </w:t>
      </w:r>
      <w:r w:rsidR="0067126D">
        <w:t>(</w:t>
      </w:r>
      <w:r w:rsidR="000A35D2">
        <w:t>4,288 thousand tonnes</w:t>
      </w:r>
      <w:r w:rsidR="0067126D">
        <w:t xml:space="preserve">) </w:t>
      </w:r>
      <w:r w:rsidR="00BD2016">
        <w:t xml:space="preserve">of all flour produced </w:t>
      </w:r>
      <w:r w:rsidR="00091D44">
        <w:t xml:space="preserve">by UK millers </w:t>
      </w:r>
      <w:r w:rsidR="00BD2016">
        <w:t>will be NWWF (or contain NWWF)</w:t>
      </w:r>
      <w:r w:rsidR="0067126D">
        <w:t>.</w:t>
      </w:r>
    </w:p>
    <w:p w14:paraId="55047EA0" w14:textId="77777777" w:rsidR="000A35D2" w:rsidRDefault="000A35D2" w:rsidP="00B4708B"/>
    <w:p w14:paraId="210FA3BA" w14:textId="2E8AD356" w:rsidR="009477D0" w:rsidRDefault="0019307F" w:rsidP="0019307F">
      <w:r>
        <w:t xml:space="preserve">As shown in the business familiarisation cost calculation, there are a total of five </w:t>
      </w:r>
      <w:r w:rsidR="009477D0">
        <w:t xml:space="preserve">reported </w:t>
      </w:r>
      <w:r>
        <w:t xml:space="preserve">flour mills in Scotland according to 2022 </w:t>
      </w:r>
      <w:hyperlink r:id="rId45" w:history="1">
        <w:r w:rsidRPr="007F7B64">
          <w:rPr>
            <w:rStyle w:val="Hyperlink"/>
            <w:rFonts w:cstheme="minorBidi"/>
            <w:color w:val="0070C0"/>
          </w:rPr>
          <w:t>ONS NOMIS</w:t>
        </w:r>
      </w:hyperlink>
      <w:r>
        <w:t xml:space="preserve"> data (accessed November 2022). All of these were classed as micro-sized businesses. Since this figure is rounded to the nearest </w:t>
      </w:r>
      <w:r w:rsidR="00CC2D6E">
        <w:t xml:space="preserve">five (incl. the </w:t>
      </w:r>
      <w:r w:rsidR="00CC2D6E" w:rsidRPr="0027638A">
        <w:t>total)</w:t>
      </w:r>
      <w:r w:rsidRPr="0027638A">
        <w:t>, we assume</w:t>
      </w:r>
      <w:r w:rsidR="009477D0" w:rsidRPr="0027638A">
        <w:t xml:space="preserve"> the same make-up of businesses as in </w:t>
      </w:r>
      <w:r w:rsidR="009477D0" w:rsidRPr="0027638A">
        <w:fldChar w:fldCharType="begin"/>
      </w:r>
      <w:r w:rsidR="009477D0" w:rsidRPr="0027638A">
        <w:instrText xml:space="preserve"> REF _Ref164929708 \h </w:instrText>
      </w:r>
      <w:r w:rsidR="0027638A">
        <w:instrText xml:space="preserve"> \* MERGEFORMAT </w:instrText>
      </w:r>
      <w:r w:rsidR="009477D0" w:rsidRPr="0027638A">
        <w:fldChar w:fldCharType="separate"/>
      </w:r>
      <w:r w:rsidR="00115CF7">
        <w:t xml:space="preserve">Table </w:t>
      </w:r>
      <w:r w:rsidR="00115CF7">
        <w:rPr>
          <w:noProof/>
        </w:rPr>
        <w:t>25</w:t>
      </w:r>
      <w:r w:rsidR="009477D0" w:rsidRPr="0027638A">
        <w:fldChar w:fldCharType="end"/>
      </w:r>
      <w:r w:rsidR="009477D0" w:rsidRPr="0027638A">
        <w:t>.</w:t>
      </w:r>
    </w:p>
    <w:p w14:paraId="6876F2E7" w14:textId="77777777" w:rsidR="0019307F" w:rsidRDefault="0019307F" w:rsidP="0019307F"/>
    <w:p w14:paraId="738EFD0E" w14:textId="59E79800" w:rsidR="00CC2D6E" w:rsidRDefault="0019307F" w:rsidP="0019307F">
      <w:r w:rsidRPr="00A44D46">
        <w:t xml:space="preserve">In addition, we also assume that the split of </w:t>
      </w:r>
      <w:r w:rsidR="00C15D1E">
        <w:t xml:space="preserve">total </w:t>
      </w:r>
      <w:r w:rsidRPr="00A44D46">
        <w:t>flour production can be better approximated by using the number of employees than the number of millers – especially given the millers that are located in Scotland are relatively small.</w:t>
      </w:r>
      <w:r w:rsidR="00C2760C" w:rsidRPr="00A44D46">
        <w:t xml:space="preserve"> To </w:t>
      </w:r>
      <w:r w:rsidR="00087986" w:rsidRPr="00A44D46">
        <w:t>estimate</w:t>
      </w:r>
      <w:r w:rsidR="00C2760C" w:rsidRPr="00A44D46">
        <w:t xml:space="preserve"> the number of employees, we assume the midpoint of each employment range is a suitable approximation for the total number of employees</w:t>
      </w:r>
      <w:r w:rsidR="00DB4823" w:rsidRPr="00A44D46">
        <w:t xml:space="preserve"> (A37)</w:t>
      </w:r>
      <w:r w:rsidR="00CC2D6E" w:rsidRPr="00A44D46">
        <w:t>.</w:t>
      </w:r>
    </w:p>
    <w:p w14:paraId="22E3DDFF" w14:textId="77777777" w:rsidR="00C2760C" w:rsidRDefault="00C2760C" w:rsidP="0019307F"/>
    <w:p w14:paraId="7736BC6C" w14:textId="75A46E1F" w:rsidR="001654BC" w:rsidRPr="00AF74F9" w:rsidRDefault="001654BC" w:rsidP="001654BC">
      <w:pPr>
        <w:pStyle w:val="Caption"/>
        <w:keepNext/>
        <w:rPr>
          <w:color w:val="auto"/>
        </w:rPr>
      </w:pPr>
      <w:bookmarkStart w:id="137" w:name="_Ref164951481"/>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33</w:t>
      </w:r>
      <w:r w:rsidR="00000F90" w:rsidRPr="00AF74F9">
        <w:rPr>
          <w:noProof/>
          <w:color w:val="auto"/>
        </w:rPr>
        <w:fldChar w:fldCharType="end"/>
      </w:r>
      <w:bookmarkEnd w:id="137"/>
      <w:r w:rsidRPr="00AF74F9">
        <w:rPr>
          <w:color w:val="auto"/>
        </w:rPr>
        <w:t>. Estimating the number of employees working in Scottish flour millers</w:t>
      </w:r>
    </w:p>
    <w:tbl>
      <w:tblPr>
        <w:tblStyle w:val="TableGrid"/>
        <w:tblW w:w="5000" w:type="pct"/>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380"/>
        <w:gridCol w:w="1842"/>
        <w:gridCol w:w="1842"/>
        <w:gridCol w:w="1842"/>
        <w:gridCol w:w="1840"/>
      </w:tblGrid>
      <w:tr w:rsidR="00ED7FDA" w14:paraId="22AB342B" w14:textId="77777777" w:rsidTr="001756A7">
        <w:trPr>
          <w:trHeight w:val="102"/>
        </w:trPr>
        <w:tc>
          <w:tcPr>
            <w:tcW w:w="1221" w:type="pct"/>
            <w:tcBorders>
              <w:top w:val="single" w:sz="4" w:space="0" w:color="auto"/>
              <w:bottom w:val="nil"/>
            </w:tcBorders>
          </w:tcPr>
          <w:p w14:paraId="58F186CC" w14:textId="77777777" w:rsidR="00ED7FDA" w:rsidRPr="003A2698" w:rsidRDefault="00ED7FDA" w:rsidP="00100744">
            <w:pPr>
              <w:rPr>
                <w:b/>
                <w:bCs/>
              </w:rPr>
            </w:pPr>
            <w:r w:rsidRPr="003A2698">
              <w:rPr>
                <w:b/>
                <w:bCs/>
              </w:rPr>
              <w:t>Employment size band</w:t>
            </w:r>
          </w:p>
        </w:tc>
        <w:tc>
          <w:tcPr>
            <w:tcW w:w="945" w:type="pct"/>
            <w:tcBorders>
              <w:top w:val="single" w:sz="4" w:space="0" w:color="auto"/>
              <w:bottom w:val="nil"/>
              <w:right w:val="single" w:sz="4" w:space="0" w:color="auto"/>
            </w:tcBorders>
          </w:tcPr>
          <w:p w14:paraId="4B8EE1B1" w14:textId="512E96B0" w:rsidR="00ED7FDA" w:rsidRDefault="00ED7FDA" w:rsidP="00100744">
            <w:pPr>
              <w:rPr>
                <w:b/>
                <w:bCs/>
              </w:rPr>
            </w:pPr>
            <w:r>
              <w:rPr>
                <w:b/>
                <w:bCs/>
              </w:rPr>
              <w:t>Assumed midpoint</w:t>
            </w:r>
          </w:p>
        </w:tc>
        <w:tc>
          <w:tcPr>
            <w:tcW w:w="945" w:type="pct"/>
            <w:tcBorders>
              <w:top w:val="single" w:sz="4" w:space="0" w:color="auto"/>
              <w:left w:val="single" w:sz="4" w:space="0" w:color="auto"/>
              <w:bottom w:val="nil"/>
            </w:tcBorders>
          </w:tcPr>
          <w:p w14:paraId="0A0F1F2C" w14:textId="151FFD2F" w:rsidR="00ED7FDA" w:rsidRDefault="00ED7FDA" w:rsidP="00100744">
            <w:pPr>
              <w:rPr>
                <w:b/>
                <w:bCs/>
              </w:rPr>
            </w:pPr>
            <w:r>
              <w:rPr>
                <w:b/>
                <w:bCs/>
              </w:rPr>
              <w:t>Low estimate</w:t>
            </w:r>
          </w:p>
        </w:tc>
        <w:tc>
          <w:tcPr>
            <w:tcW w:w="945" w:type="pct"/>
            <w:tcBorders>
              <w:top w:val="single" w:sz="4" w:space="0" w:color="auto"/>
              <w:bottom w:val="nil"/>
            </w:tcBorders>
          </w:tcPr>
          <w:p w14:paraId="44CD33A6" w14:textId="384D1851" w:rsidR="00ED7FDA" w:rsidRPr="007E2933" w:rsidRDefault="00ED7FDA" w:rsidP="00100744">
            <w:pPr>
              <w:rPr>
                <w:b/>
                <w:bCs/>
              </w:rPr>
            </w:pPr>
            <w:r>
              <w:rPr>
                <w:b/>
                <w:bCs/>
              </w:rPr>
              <w:t>Central estimate</w:t>
            </w:r>
          </w:p>
        </w:tc>
        <w:tc>
          <w:tcPr>
            <w:tcW w:w="944" w:type="pct"/>
            <w:tcBorders>
              <w:top w:val="single" w:sz="4" w:space="0" w:color="auto"/>
              <w:bottom w:val="nil"/>
            </w:tcBorders>
          </w:tcPr>
          <w:p w14:paraId="0F434498" w14:textId="60BA6445" w:rsidR="00ED7FDA" w:rsidRPr="007E2933" w:rsidRDefault="001756A7" w:rsidP="00100744">
            <w:pPr>
              <w:rPr>
                <w:b/>
                <w:bCs/>
              </w:rPr>
            </w:pPr>
            <w:r>
              <w:rPr>
                <w:b/>
                <w:bCs/>
              </w:rPr>
              <w:t>High estimate</w:t>
            </w:r>
          </w:p>
        </w:tc>
      </w:tr>
      <w:tr w:rsidR="001756A7" w14:paraId="40C98AC4" w14:textId="77777777" w:rsidTr="001756A7">
        <w:trPr>
          <w:trHeight w:val="102"/>
        </w:trPr>
        <w:tc>
          <w:tcPr>
            <w:tcW w:w="1221" w:type="pct"/>
            <w:tcBorders>
              <w:top w:val="nil"/>
              <w:bottom w:val="single" w:sz="4" w:space="0" w:color="auto"/>
            </w:tcBorders>
          </w:tcPr>
          <w:p w14:paraId="76B7CF63" w14:textId="77777777" w:rsidR="001756A7" w:rsidRPr="001756A7" w:rsidRDefault="001756A7" w:rsidP="00100744">
            <w:pPr>
              <w:rPr>
                <w:sz w:val="20"/>
                <w:szCs w:val="20"/>
              </w:rPr>
            </w:pPr>
          </w:p>
        </w:tc>
        <w:tc>
          <w:tcPr>
            <w:tcW w:w="945" w:type="pct"/>
            <w:tcBorders>
              <w:top w:val="nil"/>
              <w:bottom w:val="single" w:sz="4" w:space="0" w:color="auto"/>
              <w:right w:val="single" w:sz="4" w:space="0" w:color="auto"/>
            </w:tcBorders>
          </w:tcPr>
          <w:p w14:paraId="049C1157" w14:textId="77777777" w:rsidR="001756A7" w:rsidRPr="001756A7" w:rsidRDefault="001756A7" w:rsidP="00100744">
            <w:pPr>
              <w:rPr>
                <w:sz w:val="20"/>
                <w:szCs w:val="20"/>
              </w:rPr>
            </w:pPr>
          </w:p>
        </w:tc>
        <w:tc>
          <w:tcPr>
            <w:tcW w:w="945" w:type="pct"/>
            <w:tcBorders>
              <w:top w:val="nil"/>
              <w:left w:val="single" w:sz="4" w:space="0" w:color="auto"/>
              <w:bottom w:val="single" w:sz="4" w:space="0" w:color="auto"/>
            </w:tcBorders>
          </w:tcPr>
          <w:p w14:paraId="7251DA32" w14:textId="5F50CCE2" w:rsidR="001756A7" w:rsidRPr="001756A7" w:rsidRDefault="001756A7" w:rsidP="00100744">
            <w:pPr>
              <w:rPr>
                <w:sz w:val="20"/>
                <w:szCs w:val="20"/>
              </w:rPr>
            </w:pPr>
            <w:r w:rsidRPr="001756A7">
              <w:rPr>
                <w:sz w:val="20"/>
                <w:szCs w:val="20"/>
              </w:rPr>
              <w:t>3 micro-sized millers</w:t>
            </w:r>
            <w:r w:rsidR="00E3047F">
              <w:rPr>
                <w:sz w:val="20"/>
                <w:szCs w:val="20"/>
              </w:rPr>
              <w:t>, 2 small millers</w:t>
            </w:r>
          </w:p>
        </w:tc>
        <w:tc>
          <w:tcPr>
            <w:tcW w:w="945" w:type="pct"/>
            <w:tcBorders>
              <w:top w:val="nil"/>
              <w:bottom w:val="single" w:sz="4" w:space="0" w:color="auto"/>
            </w:tcBorders>
          </w:tcPr>
          <w:p w14:paraId="492C94B8" w14:textId="60A1F24C" w:rsidR="001756A7" w:rsidRPr="001756A7" w:rsidRDefault="00E3047F" w:rsidP="00100744">
            <w:pPr>
              <w:rPr>
                <w:sz w:val="20"/>
                <w:szCs w:val="20"/>
              </w:rPr>
            </w:pPr>
            <w:r>
              <w:rPr>
                <w:sz w:val="20"/>
                <w:szCs w:val="20"/>
              </w:rPr>
              <w:t>+ 1 large miller</w:t>
            </w:r>
          </w:p>
        </w:tc>
        <w:tc>
          <w:tcPr>
            <w:tcW w:w="944" w:type="pct"/>
            <w:tcBorders>
              <w:top w:val="nil"/>
              <w:bottom w:val="single" w:sz="4" w:space="0" w:color="auto"/>
            </w:tcBorders>
          </w:tcPr>
          <w:p w14:paraId="4E5227B1" w14:textId="57EAC816" w:rsidR="001756A7" w:rsidRPr="001756A7" w:rsidRDefault="00E3047F" w:rsidP="00100744">
            <w:pPr>
              <w:rPr>
                <w:sz w:val="20"/>
                <w:szCs w:val="20"/>
              </w:rPr>
            </w:pPr>
            <w:r>
              <w:rPr>
                <w:sz w:val="20"/>
                <w:szCs w:val="20"/>
              </w:rPr>
              <w:t>+ 1 large miller</w:t>
            </w:r>
          </w:p>
        </w:tc>
      </w:tr>
      <w:tr w:rsidR="00ED7FDA" w14:paraId="10FC75F5" w14:textId="77777777" w:rsidTr="001756A7">
        <w:tc>
          <w:tcPr>
            <w:tcW w:w="1221" w:type="pct"/>
            <w:tcBorders>
              <w:top w:val="single" w:sz="4" w:space="0" w:color="auto"/>
            </w:tcBorders>
          </w:tcPr>
          <w:p w14:paraId="1CFD0AE6" w14:textId="77777777" w:rsidR="00ED7FDA" w:rsidRDefault="00ED7FDA" w:rsidP="00100744">
            <w:r w:rsidRPr="00924D52">
              <w:t>0 to 9</w:t>
            </w:r>
          </w:p>
        </w:tc>
        <w:tc>
          <w:tcPr>
            <w:tcW w:w="945" w:type="pct"/>
            <w:tcBorders>
              <w:top w:val="single" w:sz="4" w:space="0" w:color="auto"/>
              <w:right w:val="single" w:sz="4" w:space="0" w:color="auto"/>
            </w:tcBorders>
          </w:tcPr>
          <w:p w14:paraId="73DDC672" w14:textId="37FFCF57" w:rsidR="00ED7FDA" w:rsidRDefault="0099006B" w:rsidP="00100744">
            <w:r>
              <w:t>5</w:t>
            </w:r>
          </w:p>
        </w:tc>
        <w:tc>
          <w:tcPr>
            <w:tcW w:w="945" w:type="pct"/>
            <w:tcBorders>
              <w:top w:val="single" w:sz="4" w:space="0" w:color="auto"/>
              <w:left w:val="single" w:sz="4" w:space="0" w:color="auto"/>
            </w:tcBorders>
          </w:tcPr>
          <w:p w14:paraId="6491F0D3" w14:textId="14743138" w:rsidR="00ED7FDA" w:rsidRDefault="003F1A68" w:rsidP="00100744">
            <w:r>
              <w:t>15</w:t>
            </w:r>
          </w:p>
        </w:tc>
        <w:tc>
          <w:tcPr>
            <w:tcW w:w="945" w:type="pct"/>
            <w:tcBorders>
              <w:top w:val="single" w:sz="4" w:space="0" w:color="auto"/>
            </w:tcBorders>
          </w:tcPr>
          <w:p w14:paraId="3297D2A7" w14:textId="577540C6" w:rsidR="00ED7FDA" w:rsidRDefault="00BC3A60" w:rsidP="00100744">
            <w:r>
              <w:t>15</w:t>
            </w:r>
          </w:p>
        </w:tc>
        <w:tc>
          <w:tcPr>
            <w:tcW w:w="944" w:type="pct"/>
            <w:tcBorders>
              <w:top w:val="single" w:sz="4" w:space="0" w:color="auto"/>
            </w:tcBorders>
          </w:tcPr>
          <w:p w14:paraId="057913E2" w14:textId="79EF9372" w:rsidR="00ED7FDA" w:rsidRDefault="00BC3A60" w:rsidP="00100744">
            <w:r>
              <w:t>15</w:t>
            </w:r>
          </w:p>
        </w:tc>
      </w:tr>
      <w:tr w:rsidR="00ED7FDA" w14:paraId="6778D99C" w14:textId="77777777" w:rsidTr="001756A7">
        <w:tc>
          <w:tcPr>
            <w:tcW w:w="1221" w:type="pct"/>
          </w:tcPr>
          <w:p w14:paraId="4045FBF7" w14:textId="77777777" w:rsidR="00ED7FDA" w:rsidRDefault="00ED7FDA" w:rsidP="00100744">
            <w:r w:rsidRPr="00924D52">
              <w:t>10 to 49</w:t>
            </w:r>
          </w:p>
        </w:tc>
        <w:tc>
          <w:tcPr>
            <w:tcW w:w="945" w:type="pct"/>
            <w:tcBorders>
              <w:right w:val="single" w:sz="4" w:space="0" w:color="auto"/>
            </w:tcBorders>
          </w:tcPr>
          <w:p w14:paraId="1FA400A6" w14:textId="2386AD9D" w:rsidR="00ED7FDA" w:rsidRPr="002F4C7D" w:rsidRDefault="0099006B" w:rsidP="00100744">
            <w:r>
              <w:t>30</w:t>
            </w:r>
          </w:p>
        </w:tc>
        <w:tc>
          <w:tcPr>
            <w:tcW w:w="945" w:type="pct"/>
            <w:tcBorders>
              <w:left w:val="single" w:sz="4" w:space="0" w:color="auto"/>
            </w:tcBorders>
          </w:tcPr>
          <w:p w14:paraId="3E4826BA" w14:textId="6C1A80F0" w:rsidR="00ED7FDA" w:rsidRDefault="003F1A68" w:rsidP="00100744">
            <w:r>
              <w:t>60</w:t>
            </w:r>
          </w:p>
        </w:tc>
        <w:tc>
          <w:tcPr>
            <w:tcW w:w="945" w:type="pct"/>
          </w:tcPr>
          <w:p w14:paraId="57E002E7" w14:textId="6BFBC348" w:rsidR="00ED7FDA" w:rsidRDefault="00BC3A60" w:rsidP="00100744">
            <w:r>
              <w:t>60</w:t>
            </w:r>
          </w:p>
        </w:tc>
        <w:tc>
          <w:tcPr>
            <w:tcW w:w="944" w:type="pct"/>
          </w:tcPr>
          <w:p w14:paraId="47DC3F65" w14:textId="529436EF" w:rsidR="00ED7FDA" w:rsidRDefault="00BC3A60" w:rsidP="00100744">
            <w:r>
              <w:t>60</w:t>
            </w:r>
          </w:p>
        </w:tc>
      </w:tr>
      <w:tr w:rsidR="00ED7FDA" w14:paraId="25500E95" w14:textId="77777777" w:rsidTr="001756A7">
        <w:tc>
          <w:tcPr>
            <w:tcW w:w="1221" w:type="pct"/>
          </w:tcPr>
          <w:p w14:paraId="2241204C" w14:textId="77777777" w:rsidR="00ED7FDA" w:rsidRDefault="00ED7FDA" w:rsidP="00100744">
            <w:r w:rsidRPr="00924D52">
              <w:t>50 to 249</w:t>
            </w:r>
          </w:p>
        </w:tc>
        <w:tc>
          <w:tcPr>
            <w:tcW w:w="945" w:type="pct"/>
            <w:tcBorders>
              <w:right w:val="single" w:sz="4" w:space="0" w:color="auto"/>
            </w:tcBorders>
          </w:tcPr>
          <w:p w14:paraId="7BF32A3A" w14:textId="71D669F3" w:rsidR="00ED7FDA" w:rsidRDefault="00ED7FDA" w:rsidP="00100744">
            <w:r>
              <w:t>1</w:t>
            </w:r>
            <w:r w:rsidR="0099006B">
              <w:t>50</w:t>
            </w:r>
          </w:p>
        </w:tc>
        <w:tc>
          <w:tcPr>
            <w:tcW w:w="945" w:type="pct"/>
            <w:tcBorders>
              <w:left w:val="single" w:sz="4" w:space="0" w:color="auto"/>
            </w:tcBorders>
          </w:tcPr>
          <w:p w14:paraId="6BC4BF07" w14:textId="4C3B4E90" w:rsidR="00ED7FDA" w:rsidRDefault="004F071D" w:rsidP="00100744">
            <w:r>
              <w:t>0</w:t>
            </w:r>
          </w:p>
        </w:tc>
        <w:tc>
          <w:tcPr>
            <w:tcW w:w="945" w:type="pct"/>
          </w:tcPr>
          <w:p w14:paraId="3780C94B" w14:textId="0B2A3AF1" w:rsidR="00ED7FDA" w:rsidRDefault="00BC3A60" w:rsidP="00100744">
            <w:r>
              <w:t>150</w:t>
            </w:r>
          </w:p>
        </w:tc>
        <w:tc>
          <w:tcPr>
            <w:tcW w:w="944" w:type="pct"/>
          </w:tcPr>
          <w:p w14:paraId="62B7193C" w14:textId="74EB6209" w:rsidR="00ED7FDA" w:rsidRDefault="00BC3A60" w:rsidP="00100744">
            <w:r>
              <w:t>300</w:t>
            </w:r>
          </w:p>
        </w:tc>
      </w:tr>
      <w:tr w:rsidR="00ED7FDA" w14:paraId="27472EEE" w14:textId="77777777" w:rsidTr="001756A7">
        <w:tc>
          <w:tcPr>
            <w:tcW w:w="1221" w:type="pct"/>
          </w:tcPr>
          <w:p w14:paraId="0B4C204E" w14:textId="77777777" w:rsidR="00ED7FDA" w:rsidRDefault="00ED7FDA" w:rsidP="00100744">
            <w:r w:rsidRPr="00924D52">
              <w:t>250</w:t>
            </w:r>
            <w:r>
              <w:t xml:space="preserve"> to 499</w:t>
            </w:r>
          </w:p>
        </w:tc>
        <w:tc>
          <w:tcPr>
            <w:tcW w:w="945" w:type="pct"/>
            <w:tcBorders>
              <w:right w:val="single" w:sz="4" w:space="0" w:color="auto"/>
            </w:tcBorders>
          </w:tcPr>
          <w:p w14:paraId="35BB7D56" w14:textId="51176832" w:rsidR="00ED7FDA" w:rsidRDefault="00ED7FDA" w:rsidP="00100744">
            <w:r>
              <w:t>37</w:t>
            </w:r>
            <w:r w:rsidR="0099006B">
              <w:t>5</w:t>
            </w:r>
          </w:p>
        </w:tc>
        <w:tc>
          <w:tcPr>
            <w:tcW w:w="945" w:type="pct"/>
            <w:tcBorders>
              <w:left w:val="single" w:sz="4" w:space="0" w:color="auto"/>
            </w:tcBorders>
          </w:tcPr>
          <w:p w14:paraId="1B06B348" w14:textId="6AD2097D" w:rsidR="00ED7FDA" w:rsidRDefault="004F071D" w:rsidP="00100744">
            <w:r>
              <w:t>0</w:t>
            </w:r>
          </w:p>
        </w:tc>
        <w:tc>
          <w:tcPr>
            <w:tcW w:w="945" w:type="pct"/>
          </w:tcPr>
          <w:p w14:paraId="02801054" w14:textId="416000AD" w:rsidR="00ED7FDA" w:rsidRDefault="00ED7FDA" w:rsidP="00100744">
            <w:r>
              <w:t>0</w:t>
            </w:r>
          </w:p>
        </w:tc>
        <w:tc>
          <w:tcPr>
            <w:tcW w:w="944" w:type="pct"/>
          </w:tcPr>
          <w:p w14:paraId="05FF1EA4" w14:textId="167E9990" w:rsidR="00ED7FDA" w:rsidRDefault="00D31F19" w:rsidP="00100744">
            <w:r>
              <w:t>0</w:t>
            </w:r>
          </w:p>
        </w:tc>
      </w:tr>
      <w:tr w:rsidR="00ED7FDA" w14:paraId="24EAA2C0" w14:textId="77777777" w:rsidTr="001756A7">
        <w:tc>
          <w:tcPr>
            <w:tcW w:w="1221" w:type="pct"/>
            <w:tcBorders>
              <w:bottom w:val="nil"/>
            </w:tcBorders>
          </w:tcPr>
          <w:p w14:paraId="70E03784" w14:textId="77777777" w:rsidR="00ED7FDA" w:rsidRDefault="00ED7FDA" w:rsidP="00100744">
            <w:r w:rsidRPr="00924D52">
              <w:t>500 to 999</w:t>
            </w:r>
          </w:p>
        </w:tc>
        <w:tc>
          <w:tcPr>
            <w:tcW w:w="945" w:type="pct"/>
            <w:tcBorders>
              <w:bottom w:val="nil"/>
              <w:right w:val="single" w:sz="4" w:space="0" w:color="auto"/>
            </w:tcBorders>
          </w:tcPr>
          <w:p w14:paraId="72105E2C" w14:textId="72CE536A" w:rsidR="00ED7FDA" w:rsidRDefault="00ED7FDA" w:rsidP="00100744">
            <w:r>
              <w:t>7</w:t>
            </w:r>
            <w:r w:rsidR="0099006B">
              <w:t>50</w:t>
            </w:r>
          </w:p>
        </w:tc>
        <w:tc>
          <w:tcPr>
            <w:tcW w:w="945" w:type="pct"/>
            <w:tcBorders>
              <w:left w:val="single" w:sz="4" w:space="0" w:color="auto"/>
              <w:bottom w:val="nil"/>
            </w:tcBorders>
          </w:tcPr>
          <w:p w14:paraId="64192F8E" w14:textId="1A41D696" w:rsidR="00ED7FDA" w:rsidRDefault="004F071D" w:rsidP="00100744">
            <w:r>
              <w:t>0</w:t>
            </w:r>
          </w:p>
        </w:tc>
        <w:tc>
          <w:tcPr>
            <w:tcW w:w="945" w:type="pct"/>
            <w:tcBorders>
              <w:bottom w:val="nil"/>
            </w:tcBorders>
          </w:tcPr>
          <w:p w14:paraId="64BEB674" w14:textId="556378AC" w:rsidR="00ED7FDA" w:rsidRDefault="00ED7FDA" w:rsidP="00100744">
            <w:r>
              <w:t>0</w:t>
            </w:r>
          </w:p>
        </w:tc>
        <w:tc>
          <w:tcPr>
            <w:tcW w:w="944" w:type="pct"/>
            <w:tcBorders>
              <w:bottom w:val="nil"/>
            </w:tcBorders>
          </w:tcPr>
          <w:p w14:paraId="036A6D2A" w14:textId="77777777" w:rsidR="00ED7FDA" w:rsidRDefault="00ED7FDA" w:rsidP="00100744">
            <w:r>
              <w:t>0</w:t>
            </w:r>
          </w:p>
        </w:tc>
      </w:tr>
      <w:tr w:rsidR="00ED7FDA" w14:paraId="6AC27E6C" w14:textId="77777777" w:rsidTr="001756A7">
        <w:tc>
          <w:tcPr>
            <w:tcW w:w="1221" w:type="pct"/>
            <w:tcBorders>
              <w:top w:val="nil"/>
              <w:bottom w:val="single" w:sz="4" w:space="0" w:color="auto"/>
            </w:tcBorders>
          </w:tcPr>
          <w:p w14:paraId="587265F5" w14:textId="77777777" w:rsidR="00ED7FDA" w:rsidRDefault="00ED7FDA" w:rsidP="00100744">
            <w:r>
              <w:t>1,000+</w:t>
            </w:r>
          </w:p>
        </w:tc>
        <w:tc>
          <w:tcPr>
            <w:tcW w:w="945" w:type="pct"/>
            <w:tcBorders>
              <w:top w:val="nil"/>
              <w:bottom w:val="single" w:sz="4" w:space="0" w:color="auto"/>
              <w:right w:val="single" w:sz="4" w:space="0" w:color="auto"/>
            </w:tcBorders>
          </w:tcPr>
          <w:p w14:paraId="4F5A1568" w14:textId="729336E5" w:rsidR="00ED7FDA" w:rsidRDefault="00ED7FDA" w:rsidP="00100744">
            <w:r>
              <w:t>1,000</w:t>
            </w:r>
          </w:p>
        </w:tc>
        <w:tc>
          <w:tcPr>
            <w:tcW w:w="945" w:type="pct"/>
            <w:tcBorders>
              <w:top w:val="nil"/>
              <w:left w:val="single" w:sz="4" w:space="0" w:color="auto"/>
              <w:bottom w:val="single" w:sz="4" w:space="0" w:color="auto"/>
            </w:tcBorders>
          </w:tcPr>
          <w:p w14:paraId="72F24149" w14:textId="16C2E7D0" w:rsidR="00ED7FDA" w:rsidRDefault="004F071D" w:rsidP="00100744">
            <w:r>
              <w:t>0</w:t>
            </w:r>
          </w:p>
        </w:tc>
        <w:tc>
          <w:tcPr>
            <w:tcW w:w="945" w:type="pct"/>
            <w:tcBorders>
              <w:top w:val="nil"/>
              <w:bottom w:val="single" w:sz="4" w:space="0" w:color="auto"/>
            </w:tcBorders>
          </w:tcPr>
          <w:p w14:paraId="37BE4969" w14:textId="4D34857F" w:rsidR="00ED7FDA" w:rsidRDefault="00ED7FDA" w:rsidP="00100744">
            <w:r>
              <w:t>0</w:t>
            </w:r>
          </w:p>
        </w:tc>
        <w:tc>
          <w:tcPr>
            <w:tcW w:w="944" w:type="pct"/>
            <w:tcBorders>
              <w:top w:val="nil"/>
              <w:bottom w:val="single" w:sz="4" w:space="0" w:color="auto"/>
            </w:tcBorders>
          </w:tcPr>
          <w:p w14:paraId="1A132015" w14:textId="77777777" w:rsidR="00ED7FDA" w:rsidRDefault="00ED7FDA" w:rsidP="00100744">
            <w:r>
              <w:t>0</w:t>
            </w:r>
          </w:p>
        </w:tc>
      </w:tr>
      <w:tr w:rsidR="00ED7FDA" w14:paraId="174EC5F1" w14:textId="77777777" w:rsidTr="001756A7">
        <w:tc>
          <w:tcPr>
            <w:tcW w:w="1221" w:type="pct"/>
            <w:tcBorders>
              <w:top w:val="single" w:sz="4" w:space="0" w:color="auto"/>
            </w:tcBorders>
          </w:tcPr>
          <w:p w14:paraId="4278E94C" w14:textId="77777777" w:rsidR="00ED7FDA" w:rsidRPr="003A2698" w:rsidRDefault="00ED7FDA" w:rsidP="00100744">
            <w:pPr>
              <w:rPr>
                <w:b/>
                <w:bCs/>
              </w:rPr>
            </w:pPr>
            <w:r w:rsidRPr="003A2698">
              <w:rPr>
                <w:b/>
                <w:bCs/>
              </w:rPr>
              <w:t>Total</w:t>
            </w:r>
          </w:p>
        </w:tc>
        <w:tc>
          <w:tcPr>
            <w:tcW w:w="945" w:type="pct"/>
            <w:tcBorders>
              <w:top w:val="single" w:sz="4" w:space="0" w:color="auto"/>
              <w:bottom w:val="single" w:sz="4" w:space="0" w:color="auto"/>
              <w:right w:val="single" w:sz="4" w:space="0" w:color="auto"/>
            </w:tcBorders>
          </w:tcPr>
          <w:p w14:paraId="6B83A304" w14:textId="0DB64F13" w:rsidR="00ED7FDA" w:rsidRDefault="009320F8" w:rsidP="00100744">
            <w:pPr>
              <w:rPr>
                <w:b/>
                <w:bCs/>
              </w:rPr>
            </w:pPr>
            <w:r>
              <w:rPr>
                <w:b/>
                <w:bCs/>
              </w:rPr>
              <w:t>..</w:t>
            </w:r>
          </w:p>
        </w:tc>
        <w:tc>
          <w:tcPr>
            <w:tcW w:w="945" w:type="pct"/>
            <w:tcBorders>
              <w:top w:val="single" w:sz="4" w:space="0" w:color="auto"/>
              <w:left w:val="single" w:sz="4" w:space="0" w:color="auto"/>
            </w:tcBorders>
          </w:tcPr>
          <w:p w14:paraId="17199C2C" w14:textId="43C1ADDF" w:rsidR="00ED7FDA" w:rsidRDefault="003F1A68" w:rsidP="00100744">
            <w:pPr>
              <w:rPr>
                <w:b/>
                <w:bCs/>
              </w:rPr>
            </w:pPr>
            <w:r>
              <w:rPr>
                <w:b/>
                <w:bCs/>
              </w:rPr>
              <w:t>75</w:t>
            </w:r>
          </w:p>
        </w:tc>
        <w:tc>
          <w:tcPr>
            <w:tcW w:w="945" w:type="pct"/>
            <w:tcBorders>
              <w:top w:val="single" w:sz="4" w:space="0" w:color="auto"/>
            </w:tcBorders>
          </w:tcPr>
          <w:p w14:paraId="339AF050" w14:textId="1091C37A" w:rsidR="00ED7FDA" w:rsidRPr="003A2698" w:rsidRDefault="003F1A68" w:rsidP="00100744">
            <w:pPr>
              <w:rPr>
                <w:b/>
                <w:bCs/>
              </w:rPr>
            </w:pPr>
            <w:r>
              <w:rPr>
                <w:b/>
                <w:bCs/>
              </w:rPr>
              <w:t>225</w:t>
            </w:r>
          </w:p>
        </w:tc>
        <w:tc>
          <w:tcPr>
            <w:tcW w:w="944" w:type="pct"/>
            <w:tcBorders>
              <w:top w:val="single" w:sz="4" w:space="0" w:color="auto"/>
            </w:tcBorders>
          </w:tcPr>
          <w:p w14:paraId="5A01EF86" w14:textId="5E159AE0" w:rsidR="00ED7FDA" w:rsidRPr="003A2698" w:rsidRDefault="003F1A68" w:rsidP="00100744">
            <w:pPr>
              <w:rPr>
                <w:b/>
                <w:bCs/>
              </w:rPr>
            </w:pPr>
            <w:r>
              <w:rPr>
                <w:b/>
                <w:bCs/>
              </w:rPr>
              <w:t>375</w:t>
            </w:r>
          </w:p>
        </w:tc>
      </w:tr>
    </w:tbl>
    <w:p w14:paraId="11E13D39" w14:textId="77777777" w:rsidR="00C2760C" w:rsidRDefault="00C2760C" w:rsidP="0019307F"/>
    <w:p w14:paraId="447E00B9" w14:textId="5C11C1B4" w:rsidR="00781D6E" w:rsidRDefault="00BC5598" w:rsidP="0019307F">
      <w:pPr>
        <w:rPr>
          <w:rFonts w:cstheme="minorHAnsi"/>
        </w:rPr>
      </w:pPr>
      <w:r>
        <w:t>Using the same employment midpoints, and taking the number of millers in the UK at face value</w:t>
      </w:r>
      <w:r w:rsidR="00F671AE">
        <w:t xml:space="preserve"> (i.e. not assuming a low and high estimate as for Scotland)</w:t>
      </w:r>
      <w:r>
        <w:t xml:space="preserve">, we estimate the total number of </w:t>
      </w:r>
      <w:r w:rsidR="00DF3188">
        <w:t xml:space="preserve">miller </w:t>
      </w:r>
      <w:r>
        <w:t xml:space="preserve">employees </w:t>
      </w:r>
      <w:r w:rsidR="00A35D5F">
        <w:t>at 4,66</w:t>
      </w:r>
      <w:r w:rsidR="00A35D5F" w:rsidRPr="005A59DB">
        <w:rPr>
          <w:rFonts w:cstheme="minorHAnsi"/>
        </w:rPr>
        <w:t>5</w:t>
      </w:r>
      <w:r w:rsidR="00DF3188">
        <w:rPr>
          <w:rFonts w:cstheme="minorHAnsi"/>
        </w:rPr>
        <w:t xml:space="preserve"> in the UK as a whole</w:t>
      </w:r>
      <w:r w:rsidR="00A35D5F" w:rsidRPr="005A59DB">
        <w:rPr>
          <w:rFonts w:cstheme="minorHAnsi"/>
        </w:rPr>
        <w:t>.</w:t>
      </w:r>
      <w:r w:rsidR="005A59DB" w:rsidRPr="005A59DB">
        <w:rPr>
          <w:rStyle w:val="FootnoteReference"/>
          <w:rFonts w:asciiTheme="minorHAnsi" w:hAnsiTheme="minorHAnsi" w:cstheme="minorHAnsi"/>
          <w:sz w:val="24"/>
          <w:szCs w:val="28"/>
        </w:rPr>
        <w:footnoteReference w:id="24"/>
      </w:r>
      <w:r w:rsidR="00A80776">
        <w:rPr>
          <w:rFonts w:cstheme="minorHAnsi"/>
        </w:rPr>
        <w:t xml:space="preserve"> This </w:t>
      </w:r>
      <w:r w:rsidR="00D26125">
        <w:rPr>
          <w:rFonts w:cstheme="minorHAnsi"/>
        </w:rPr>
        <w:t>allows</w:t>
      </w:r>
      <w:r w:rsidR="00A80776">
        <w:rPr>
          <w:rFonts w:cstheme="minorHAnsi"/>
        </w:rPr>
        <w:t xml:space="preserve"> </w:t>
      </w:r>
      <w:r w:rsidR="006D1963">
        <w:rPr>
          <w:rFonts w:cstheme="minorHAnsi"/>
        </w:rPr>
        <w:t xml:space="preserve">us </w:t>
      </w:r>
      <w:r w:rsidR="00A80776">
        <w:rPr>
          <w:rFonts w:cstheme="minorHAnsi"/>
        </w:rPr>
        <w:t>to estimate a proportion of Scottish-produced NWWF flour:</w:t>
      </w:r>
    </w:p>
    <w:p w14:paraId="558266D0" w14:textId="77777777" w:rsidR="00A80776" w:rsidRPr="00AF74F9" w:rsidRDefault="00A80776" w:rsidP="0019307F">
      <w:pPr>
        <w:rPr>
          <w:rFonts w:cstheme="minorHAnsi"/>
        </w:rPr>
      </w:pPr>
    </w:p>
    <w:p w14:paraId="55FD7443" w14:textId="5F81D5BE" w:rsidR="008142DF" w:rsidRPr="00AF74F9" w:rsidRDefault="008142DF" w:rsidP="008142DF">
      <w:pPr>
        <w:pStyle w:val="Caption"/>
        <w:keepNext/>
        <w:rPr>
          <w:color w:val="auto"/>
        </w:rPr>
      </w:pPr>
      <w:bookmarkStart w:id="138" w:name="_Ref146283424"/>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34</w:t>
      </w:r>
      <w:r w:rsidR="00000F90" w:rsidRPr="00AF74F9">
        <w:rPr>
          <w:noProof/>
          <w:color w:val="auto"/>
        </w:rPr>
        <w:fldChar w:fldCharType="end"/>
      </w:r>
      <w:bookmarkEnd w:id="138"/>
      <w:r w:rsidRPr="00AF74F9">
        <w:rPr>
          <w:color w:val="auto"/>
        </w:rPr>
        <w:t xml:space="preserve">. Estimated </w:t>
      </w:r>
      <w:r w:rsidR="00F96A30" w:rsidRPr="00AF74F9">
        <w:rPr>
          <w:color w:val="auto"/>
        </w:rPr>
        <w:t>annual Scottish flour production and fortification cost</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900"/>
        <w:gridCol w:w="1961"/>
        <w:gridCol w:w="1961"/>
        <w:gridCol w:w="1961"/>
        <w:gridCol w:w="1963"/>
      </w:tblGrid>
      <w:tr w:rsidR="00D35A7B" w14:paraId="43416593" w14:textId="664DDCB4" w:rsidTr="001F1A55">
        <w:tc>
          <w:tcPr>
            <w:tcW w:w="975" w:type="pct"/>
            <w:tcBorders>
              <w:top w:val="single" w:sz="4" w:space="0" w:color="auto"/>
              <w:bottom w:val="nil"/>
            </w:tcBorders>
          </w:tcPr>
          <w:p w14:paraId="5FC5E106" w14:textId="77777777" w:rsidR="00D35A7B" w:rsidRPr="00024663" w:rsidRDefault="00D35A7B" w:rsidP="00100744">
            <w:pPr>
              <w:rPr>
                <w:b/>
                <w:bCs/>
              </w:rPr>
            </w:pPr>
            <w:r w:rsidRPr="00024663">
              <w:rPr>
                <w:b/>
                <w:bCs/>
              </w:rPr>
              <w:t>Estimate</w:t>
            </w:r>
          </w:p>
        </w:tc>
        <w:tc>
          <w:tcPr>
            <w:tcW w:w="1006" w:type="pct"/>
            <w:tcBorders>
              <w:top w:val="single" w:sz="4" w:space="0" w:color="auto"/>
              <w:bottom w:val="nil"/>
            </w:tcBorders>
          </w:tcPr>
          <w:p w14:paraId="45568FAD" w14:textId="6763B65D" w:rsidR="00D35A7B" w:rsidRPr="00024663" w:rsidRDefault="00D35A7B" w:rsidP="00100744">
            <w:pPr>
              <w:rPr>
                <w:b/>
                <w:bCs/>
              </w:rPr>
            </w:pPr>
            <w:r w:rsidRPr="00024663">
              <w:rPr>
                <w:b/>
                <w:bCs/>
              </w:rPr>
              <w:t xml:space="preserve">Estimated </w:t>
            </w:r>
            <w:r>
              <w:rPr>
                <w:b/>
                <w:bCs/>
              </w:rPr>
              <w:t xml:space="preserve">proportion of </w:t>
            </w:r>
            <w:r w:rsidR="00A379F8">
              <w:rPr>
                <w:b/>
                <w:bCs/>
              </w:rPr>
              <w:t xml:space="preserve">UK miller </w:t>
            </w:r>
            <w:r>
              <w:rPr>
                <w:b/>
                <w:bCs/>
              </w:rPr>
              <w:t>employees in Scottish millers</w:t>
            </w:r>
          </w:p>
        </w:tc>
        <w:tc>
          <w:tcPr>
            <w:tcW w:w="1006" w:type="pct"/>
            <w:tcBorders>
              <w:top w:val="single" w:sz="4" w:space="0" w:color="auto"/>
              <w:bottom w:val="nil"/>
              <w:right w:val="single" w:sz="4" w:space="0" w:color="auto"/>
            </w:tcBorders>
          </w:tcPr>
          <w:p w14:paraId="24D2BA4A" w14:textId="5E52C2D5" w:rsidR="00D35A7B" w:rsidRPr="00024663" w:rsidRDefault="00D35A7B" w:rsidP="00100744">
            <w:pPr>
              <w:rPr>
                <w:b/>
                <w:bCs/>
              </w:rPr>
            </w:pPr>
            <w:r w:rsidRPr="00024663">
              <w:rPr>
                <w:b/>
                <w:bCs/>
              </w:rPr>
              <w:t xml:space="preserve">Estimated </w:t>
            </w:r>
            <w:r>
              <w:rPr>
                <w:b/>
                <w:bCs/>
              </w:rPr>
              <w:t>annual</w:t>
            </w:r>
            <w:r w:rsidRPr="00024663">
              <w:rPr>
                <w:b/>
                <w:bCs/>
              </w:rPr>
              <w:t xml:space="preserve"> </w:t>
            </w:r>
            <w:r>
              <w:rPr>
                <w:b/>
                <w:bCs/>
              </w:rPr>
              <w:t>UK NWWF flour production</w:t>
            </w:r>
          </w:p>
        </w:tc>
        <w:tc>
          <w:tcPr>
            <w:tcW w:w="1006" w:type="pct"/>
            <w:tcBorders>
              <w:top w:val="single" w:sz="4" w:space="0" w:color="auto"/>
              <w:left w:val="single" w:sz="4" w:space="0" w:color="auto"/>
              <w:bottom w:val="nil"/>
            </w:tcBorders>
          </w:tcPr>
          <w:p w14:paraId="05120FE7" w14:textId="602DE295" w:rsidR="00D35A7B" w:rsidRPr="00024663" w:rsidRDefault="00D35A7B" w:rsidP="00100744">
            <w:pPr>
              <w:rPr>
                <w:b/>
                <w:bCs/>
              </w:rPr>
            </w:pPr>
            <w:r w:rsidRPr="00024663">
              <w:rPr>
                <w:b/>
                <w:bCs/>
              </w:rPr>
              <w:t xml:space="preserve">Estimated </w:t>
            </w:r>
            <w:r>
              <w:rPr>
                <w:b/>
                <w:bCs/>
              </w:rPr>
              <w:t>annual</w:t>
            </w:r>
            <w:r w:rsidRPr="00024663">
              <w:rPr>
                <w:b/>
                <w:bCs/>
              </w:rPr>
              <w:t xml:space="preserve"> </w:t>
            </w:r>
            <w:r>
              <w:rPr>
                <w:b/>
                <w:bCs/>
              </w:rPr>
              <w:t>Scottish NWWF flour production</w:t>
            </w:r>
          </w:p>
        </w:tc>
        <w:tc>
          <w:tcPr>
            <w:tcW w:w="1007" w:type="pct"/>
            <w:tcBorders>
              <w:top w:val="single" w:sz="4" w:space="0" w:color="auto"/>
              <w:bottom w:val="nil"/>
            </w:tcBorders>
          </w:tcPr>
          <w:p w14:paraId="5418DB54" w14:textId="26958D3E" w:rsidR="00D35A7B" w:rsidRPr="00024663" w:rsidRDefault="00D35A7B" w:rsidP="00100744">
            <w:pPr>
              <w:rPr>
                <w:b/>
                <w:bCs/>
              </w:rPr>
            </w:pPr>
            <w:r w:rsidRPr="00024663">
              <w:rPr>
                <w:b/>
                <w:bCs/>
              </w:rPr>
              <w:t xml:space="preserve">Estimated </w:t>
            </w:r>
            <w:r>
              <w:rPr>
                <w:b/>
                <w:bCs/>
              </w:rPr>
              <w:t>annual</w:t>
            </w:r>
            <w:r w:rsidRPr="00024663">
              <w:rPr>
                <w:b/>
                <w:bCs/>
              </w:rPr>
              <w:t xml:space="preserve"> </w:t>
            </w:r>
            <w:r>
              <w:rPr>
                <w:b/>
                <w:bCs/>
              </w:rPr>
              <w:t>Scottish fortification cost</w:t>
            </w:r>
          </w:p>
        </w:tc>
      </w:tr>
      <w:tr w:rsidR="00D35A7B" w14:paraId="7D3CEBB8" w14:textId="06798BCB" w:rsidTr="001F1A55">
        <w:tc>
          <w:tcPr>
            <w:tcW w:w="975" w:type="pct"/>
            <w:tcBorders>
              <w:top w:val="nil"/>
              <w:bottom w:val="single" w:sz="4" w:space="0" w:color="auto"/>
            </w:tcBorders>
          </w:tcPr>
          <w:p w14:paraId="7278AAA9" w14:textId="77777777" w:rsidR="00D35A7B" w:rsidRPr="00024663" w:rsidRDefault="00D35A7B" w:rsidP="00100744">
            <w:pPr>
              <w:rPr>
                <w:b/>
                <w:bCs/>
              </w:rPr>
            </w:pPr>
          </w:p>
        </w:tc>
        <w:tc>
          <w:tcPr>
            <w:tcW w:w="1006" w:type="pct"/>
            <w:tcBorders>
              <w:top w:val="nil"/>
              <w:bottom w:val="single" w:sz="4" w:space="0" w:color="auto"/>
            </w:tcBorders>
          </w:tcPr>
          <w:p w14:paraId="1A381154" w14:textId="69A4B841" w:rsidR="00D35A7B" w:rsidRPr="00026B23" w:rsidRDefault="00D35A7B" w:rsidP="00100744">
            <w:pPr>
              <w:rPr>
                <w:sz w:val="20"/>
                <w:szCs w:val="20"/>
              </w:rPr>
            </w:pPr>
            <w:r w:rsidRPr="00026B23">
              <w:rPr>
                <w:sz w:val="20"/>
                <w:szCs w:val="20"/>
              </w:rPr>
              <w:t>%</w:t>
            </w:r>
          </w:p>
        </w:tc>
        <w:tc>
          <w:tcPr>
            <w:tcW w:w="1006" w:type="pct"/>
            <w:tcBorders>
              <w:top w:val="nil"/>
              <w:bottom w:val="single" w:sz="4" w:space="0" w:color="auto"/>
              <w:right w:val="single" w:sz="4" w:space="0" w:color="auto"/>
            </w:tcBorders>
          </w:tcPr>
          <w:p w14:paraId="73FD87C6" w14:textId="1901276B" w:rsidR="00D35A7B" w:rsidRPr="00026B23" w:rsidRDefault="00D35A7B" w:rsidP="00100744">
            <w:pPr>
              <w:rPr>
                <w:sz w:val="20"/>
                <w:szCs w:val="20"/>
              </w:rPr>
            </w:pPr>
            <w:r w:rsidRPr="00026B23">
              <w:rPr>
                <w:sz w:val="20"/>
                <w:szCs w:val="20"/>
              </w:rPr>
              <w:t>Thousand tonnes</w:t>
            </w:r>
          </w:p>
        </w:tc>
        <w:tc>
          <w:tcPr>
            <w:tcW w:w="1006" w:type="pct"/>
            <w:tcBorders>
              <w:top w:val="nil"/>
              <w:left w:val="single" w:sz="4" w:space="0" w:color="auto"/>
              <w:bottom w:val="single" w:sz="4" w:space="0" w:color="auto"/>
            </w:tcBorders>
          </w:tcPr>
          <w:p w14:paraId="604EA2FA" w14:textId="6EEBC92A" w:rsidR="00D35A7B" w:rsidRPr="00026B23" w:rsidRDefault="00D35A7B" w:rsidP="00100744">
            <w:pPr>
              <w:rPr>
                <w:sz w:val="20"/>
                <w:szCs w:val="20"/>
              </w:rPr>
            </w:pPr>
            <w:r>
              <w:rPr>
                <w:sz w:val="20"/>
                <w:szCs w:val="20"/>
              </w:rPr>
              <w:t>Thousand tonnes</w:t>
            </w:r>
          </w:p>
        </w:tc>
        <w:tc>
          <w:tcPr>
            <w:tcW w:w="1007" w:type="pct"/>
            <w:tcBorders>
              <w:top w:val="nil"/>
              <w:bottom w:val="single" w:sz="4" w:space="0" w:color="auto"/>
            </w:tcBorders>
          </w:tcPr>
          <w:p w14:paraId="7FF4A64F" w14:textId="1D2FD5C8" w:rsidR="00D35A7B" w:rsidRDefault="00F62174" w:rsidP="00100744">
            <w:pPr>
              <w:rPr>
                <w:sz w:val="20"/>
                <w:szCs w:val="20"/>
              </w:rPr>
            </w:pPr>
            <w:r>
              <w:rPr>
                <w:sz w:val="20"/>
                <w:szCs w:val="20"/>
              </w:rPr>
              <w:t>£ 2024</w:t>
            </w:r>
          </w:p>
        </w:tc>
      </w:tr>
      <w:tr w:rsidR="00D35A7B" w14:paraId="5DA13431" w14:textId="6AC3705A" w:rsidTr="001F1A55">
        <w:tc>
          <w:tcPr>
            <w:tcW w:w="975" w:type="pct"/>
            <w:tcBorders>
              <w:top w:val="single" w:sz="4" w:space="0" w:color="auto"/>
            </w:tcBorders>
          </w:tcPr>
          <w:p w14:paraId="3EE29730" w14:textId="77777777" w:rsidR="00D35A7B" w:rsidRDefault="00D35A7B" w:rsidP="00100744">
            <w:r>
              <w:t>Low</w:t>
            </w:r>
          </w:p>
        </w:tc>
        <w:tc>
          <w:tcPr>
            <w:tcW w:w="1006" w:type="pct"/>
            <w:tcBorders>
              <w:top w:val="single" w:sz="4" w:space="0" w:color="auto"/>
            </w:tcBorders>
          </w:tcPr>
          <w:p w14:paraId="15CEDDAA" w14:textId="336ACBF7" w:rsidR="00D35A7B" w:rsidRDefault="00344206" w:rsidP="00100744">
            <w:r>
              <w:t>1.</w:t>
            </w:r>
            <w:r w:rsidR="00BD239B">
              <w:t>6</w:t>
            </w:r>
          </w:p>
        </w:tc>
        <w:tc>
          <w:tcPr>
            <w:tcW w:w="1006" w:type="pct"/>
            <w:tcBorders>
              <w:top w:val="single" w:sz="4" w:space="0" w:color="auto"/>
              <w:right w:val="single" w:sz="4" w:space="0" w:color="auto"/>
            </w:tcBorders>
          </w:tcPr>
          <w:p w14:paraId="3C1A7256" w14:textId="5D703E56" w:rsidR="00D35A7B" w:rsidRDefault="00D35A7B" w:rsidP="00100744">
            <w:r>
              <w:t>4,288</w:t>
            </w:r>
          </w:p>
        </w:tc>
        <w:tc>
          <w:tcPr>
            <w:tcW w:w="1006" w:type="pct"/>
            <w:tcBorders>
              <w:top w:val="single" w:sz="4" w:space="0" w:color="auto"/>
              <w:left w:val="single" w:sz="4" w:space="0" w:color="auto"/>
            </w:tcBorders>
          </w:tcPr>
          <w:p w14:paraId="3A2685C2" w14:textId="1B2E1B68" w:rsidR="00D35A7B" w:rsidRDefault="0031249B" w:rsidP="00100744">
            <w:r>
              <w:t>66</w:t>
            </w:r>
            <w:r w:rsidR="00D738FB">
              <w:t>.7</w:t>
            </w:r>
          </w:p>
        </w:tc>
        <w:tc>
          <w:tcPr>
            <w:tcW w:w="1007" w:type="pct"/>
            <w:tcBorders>
              <w:top w:val="single" w:sz="4" w:space="0" w:color="auto"/>
            </w:tcBorders>
          </w:tcPr>
          <w:p w14:paraId="66BA19DD" w14:textId="6D4411CD" w:rsidR="00D35A7B" w:rsidRDefault="00DB6D5D" w:rsidP="00100744">
            <w:r>
              <w:t>1</w:t>
            </w:r>
            <w:r w:rsidR="00F62174">
              <w:t>0</w:t>
            </w:r>
            <w:r w:rsidR="00E845FD">
              <w:t>,942</w:t>
            </w:r>
          </w:p>
        </w:tc>
      </w:tr>
      <w:tr w:rsidR="00D35A7B" w14:paraId="54B1E36A" w14:textId="4EBE3897" w:rsidTr="001F1A55">
        <w:tc>
          <w:tcPr>
            <w:tcW w:w="975" w:type="pct"/>
          </w:tcPr>
          <w:p w14:paraId="0C5C2BAC" w14:textId="77777777" w:rsidR="00D35A7B" w:rsidRDefault="00D35A7B" w:rsidP="00100744">
            <w:r>
              <w:t>Central</w:t>
            </w:r>
          </w:p>
        </w:tc>
        <w:tc>
          <w:tcPr>
            <w:tcW w:w="1006" w:type="pct"/>
          </w:tcPr>
          <w:p w14:paraId="4704203A" w14:textId="68C7842C" w:rsidR="00D35A7B" w:rsidRDefault="00A379F8" w:rsidP="00100744">
            <w:r>
              <w:t>4.7</w:t>
            </w:r>
          </w:p>
        </w:tc>
        <w:tc>
          <w:tcPr>
            <w:tcW w:w="1006" w:type="pct"/>
            <w:tcBorders>
              <w:right w:val="single" w:sz="4" w:space="0" w:color="auto"/>
            </w:tcBorders>
          </w:tcPr>
          <w:p w14:paraId="04553A80" w14:textId="437DC15E" w:rsidR="00D35A7B" w:rsidRDefault="00D35A7B" w:rsidP="00100744">
            <w:r>
              <w:t>4,288</w:t>
            </w:r>
          </w:p>
        </w:tc>
        <w:tc>
          <w:tcPr>
            <w:tcW w:w="1006" w:type="pct"/>
            <w:tcBorders>
              <w:left w:val="single" w:sz="4" w:space="0" w:color="auto"/>
            </w:tcBorders>
          </w:tcPr>
          <w:p w14:paraId="73F938DF" w14:textId="208B0FD9" w:rsidR="00D35A7B" w:rsidRDefault="00207DDE" w:rsidP="00100744">
            <w:r>
              <w:t>200.0</w:t>
            </w:r>
          </w:p>
        </w:tc>
        <w:tc>
          <w:tcPr>
            <w:tcW w:w="1007" w:type="pct"/>
          </w:tcPr>
          <w:p w14:paraId="728DD0BE" w14:textId="727726AC" w:rsidR="00D35A7B" w:rsidRDefault="00E845FD" w:rsidP="00100744">
            <w:r>
              <w:t>32,825</w:t>
            </w:r>
          </w:p>
        </w:tc>
      </w:tr>
      <w:tr w:rsidR="00D35A7B" w14:paraId="122C2754" w14:textId="0A8343CF" w:rsidTr="001F1A55">
        <w:tc>
          <w:tcPr>
            <w:tcW w:w="975" w:type="pct"/>
          </w:tcPr>
          <w:p w14:paraId="476E4C13" w14:textId="77777777" w:rsidR="00D35A7B" w:rsidRDefault="00D35A7B" w:rsidP="00100744">
            <w:r>
              <w:t>High</w:t>
            </w:r>
          </w:p>
        </w:tc>
        <w:tc>
          <w:tcPr>
            <w:tcW w:w="1006" w:type="pct"/>
          </w:tcPr>
          <w:p w14:paraId="6D694453" w14:textId="283DE956" w:rsidR="00D35A7B" w:rsidRDefault="00A379F8" w:rsidP="00100744">
            <w:r>
              <w:t>7.8</w:t>
            </w:r>
          </w:p>
        </w:tc>
        <w:tc>
          <w:tcPr>
            <w:tcW w:w="1006" w:type="pct"/>
            <w:tcBorders>
              <w:bottom w:val="single" w:sz="4" w:space="0" w:color="auto"/>
              <w:right w:val="single" w:sz="4" w:space="0" w:color="auto"/>
            </w:tcBorders>
          </w:tcPr>
          <w:p w14:paraId="7A6F12AB" w14:textId="49194749" w:rsidR="00D35A7B" w:rsidRDefault="00D35A7B" w:rsidP="00100744">
            <w:r>
              <w:t>4,288</w:t>
            </w:r>
          </w:p>
        </w:tc>
        <w:tc>
          <w:tcPr>
            <w:tcW w:w="1006" w:type="pct"/>
            <w:tcBorders>
              <w:left w:val="single" w:sz="4" w:space="0" w:color="auto"/>
            </w:tcBorders>
          </w:tcPr>
          <w:p w14:paraId="1CF0F8D9" w14:textId="5A173579" w:rsidR="00D35A7B" w:rsidRDefault="00207DDE" w:rsidP="00100744">
            <w:r>
              <w:t>333.3</w:t>
            </w:r>
          </w:p>
        </w:tc>
        <w:tc>
          <w:tcPr>
            <w:tcW w:w="1007" w:type="pct"/>
          </w:tcPr>
          <w:p w14:paraId="68CD1092" w14:textId="54C6C741" w:rsidR="00D35A7B" w:rsidRDefault="00E845FD" w:rsidP="00100744">
            <w:r>
              <w:t>54,708</w:t>
            </w:r>
          </w:p>
        </w:tc>
      </w:tr>
    </w:tbl>
    <w:p w14:paraId="0620EC19" w14:textId="77777777" w:rsidR="00A80776" w:rsidRDefault="00A80776" w:rsidP="0019307F"/>
    <w:p w14:paraId="3FAFE10B" w14:textId="45EE70EA" w:rsidR="004051E6" w:rsidRDefault="004051E6" w:rsidP="0019307F">
      <w:r>
        <w:t>Assuming this is</w:t>
      </w:r>
      <w:r w:rsidR="00C46B15">
        <w:t xml:space="preserve"> a</w:t>
      </w:r>
      <w:r>
        <w:t xml:space="preserve"> recurring annual cost, we apply the same discounting over a 10-year appraisal period as with calculating benefits:</w:t>
      </w:r>
    </w:p>
    <w:p w14:paraId="2E0622C7" w14:textId="77777777" w:rsidR="004051E6" w:rsidRPr="00AF74F9" w:rsidRDefault="004051E6" w:rsidP="0019307F"/>
    <w:p w14:paraId="5503E163" w14:textId="4C6EEFEE" w:rsidR="00F96A30" w:rsidRPr="00AF74F9" w:rsidRDefault="00F96A30" w:rsidP="00F96A30">
      <w:pPr>
        <w:pStyle w:val="Caption"/>
        <w:keepNext/>
        <w:rPr>
          <w:color w:val="auto"/>
        </w:rPr>
      </w:pPr>
      <w:r w:rsidRPr="00AF74F9">
        <w:rPr>
          <w:color w:val="auto"/>
        </w:rPr>
        <w:t xml:space="preserve">Table </w:t>
      </w:r>
      <w:r w:rsidR="00000F90" w:rsidRPr="00AF74F9">
        <w:rPr>
          <w:color w:val="auto"/>
        </w:rPr>
        <w:fldChar w:fldCharType="begin"/>
      </w:r>
      <w:r w:rsidR="00000F90" w:rsidRPr="00AF74F9">
        <w:rPr>
          <w:color w:val="auto"/>
        </w:rPr>
        <w:instrText xml:space="preserve"> SEQ Table \* ARABIC </w:instrText>
      </w:r>
      <w:r w:rsidR="00000F90" w:rsidRPr="00AF74F9">
        <w:rPr>
          <w:color w:val="auto"/>
        </w:rPr>
        <w:fldChar w:fldCharType="separate"/>
      </w:r>
      <w:r w:rsidR="000E33D5" w:rsidRPr="00AF74F9">
        <w:rPr>
          <w:noProof/>
          <w:color w:val="auto"/>
        </w:rPr>
        <w:t>35</w:t>
      </w:r>
      <w:r w:rsidR="00000F90" w:rsidRPr="00AF74F9">
        <w:rPr>
          <w:noProof/>
          <w:color w:val="auto"/>
        </w:rPr>
        <w:fldChar w:fldCharType="end"/>
      </w:r>
      <w:r w:rsidRPr="00AF74F9">
        <w:rPr>
          <w:color w:val="auto"/>
        </w:rPr>
        <w:t>. Estimated total Scottish discounted fortification cost</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62"/>
        <w:gridCol w:w="3481"/>
        <w:gridCol w:w="3403"/>
      </w:tblGrid>
      <w:tr w:rsidR="00007941" w14:paraId="75C520B8" w14:textId="77777777" w:rsidTr="006B662C">
        <w:tc>
          <w:tcPr>
            <w:tcW w:w="1468" w:type="pct"/>
            <w:tcBorders>
              <w:top w:val="single" w:sz="4" w:space="0" w:color="auto"/>
              <w:bottom w:val="nil"/>
            </w:tcBorders>
          </w:tcPr>
          <w:p w14:paraId="23F64F8A" w14:textId="77777777" w:rsidR="00007941" w:rsidRPr="00024663" w:rsidRDefault="00007941" w:rsidP="00100744">
            <w:pPr>
              <w:rPr>
                <w:b/>
                <w:bCs/>
              </w:rPr>
            </w:pPr>
            <w:r w:rsidRPr="00024663">
              <w:rPr>
                <w:b/>
                <w:bCs/>
              </w:rPr>
              <w:t>Estimate</w:t>
            </w:r>
          </w:p>
        </w:tc>
        <w:tc>
          <w:tcPr>
            <w:tcW w:w="1786" w:type="pct"/>
            <w:tcBorders>
              <w:top w:val="single" w:sz="4" w:space="0" w:color="auto"/>
              <w:bottom w:val="nil"/>
            </w:tcBorders>
          </w:tcPr>
          <w:p w14:paraId="3B562DEF" w14:textId="175FD13B" w:rsidR="00007941" w:rsidRPr="00024663" w:rsidRDefault="00007941" w:rsidP="00100744">
            <w:pPr>
              <w:rPr>
                <w:b/>
                <w:bCs/>
              </w:rPr>
            </w:pPr>
            <w:r w:rsidRPr="00024663">
              <w:rPr>
                <w:b/>
                <w:bCs/>
              </w:rPr>
              <w:t xml:space="preserve">Estimated </w:t>
            </w:r>
            <w:r>
              <w:rPr>
                <w:b/>
                <w:bCs/>
              </w:rPr>
              <w:t>annual</w:t>
            </w:r>
            <w:r w:rsidRPr="00024663">
              <w:rPr>
                <w:b/>
                <w:bCs/>
              </w:rPr>
              <w:t xml:space="preserve"> </w:t>
            </w:r>
            <w:r>
              <w:rPr>
                <w:b/>
                <w:bCs/>
              </w:rPr>
              <w:t>Scottish fortification cost</w:t>
            </w:r>
          </w:p>
        </w:tc>
        <w:tc>
          <w:tcPr>
            <w:tcW w:w="1746" w:type="pct"/>
            <w:tcBorders>
              <w:top w:val="single" w:sz="4" w:space="0" w:color="auto"/>
              <w:bottom w:val="nil"/>
            </w:tcBorders>
          </w:tcPr>
          <w:p w14:paraId="742D0AA1" w14:textId="0A05837C" w:rsidR="00007941" w:rsidRPr="00024663" w:rsidRDefault="00007941" w:rsidP="00100744">
            <w:pPr>
              <w:rPr>
                <w:b/>
                <w:bCs/>
              </w:rPr>
            </w:pPr>
            <w:r w:rsidRPr="00024663">
              <w:rPr>
                <w:b/>
                <w:bCs/>
              </w:rPr>
              <w:t xml:space="preserve">Estimated </w:t>
            </w:r>
            <w:r>
              <w:rPr>
                <w:b/>
                <w:bCs/>
              </w:rPr>
              <w:t>total discounted</w:t>
            </w:r>
            <w:r w:rsidRPr="00024663">
              <w:rPr>
                <w:b/>
                <w:bCs/>
              </w:rPr>
              <w:t xml:space="preserve"> </w:t>
            </w:r>
            <w:r>
              <w:rPr>
                <w:b/>
                <w:bCs/>
              </w:rPr>
              <w:t>Scottish fortification cost</w:t>
            </w:r>
          </w:p>
        </w:tc>
      </w:tr>
      <w:tr w:rsidR="00C728A4" w14:paraId="3E5372B6" w14:textId="77777777" w:rsidTr="006B662C">
        <w:tc>
          <w:tcPr>
            <w:tcW w:w="1468" w:type="pct"/>
            <w:tcBorders>
              <w:top w:val="nil"/>
              <w:bottom w:val="single" w:sz="4" w:space="0" w:color="auto"/>
            </w:tcBorders>
          </w:tcPr>
          <w:p w14:paraId="26853991" w14:textId="77777777" w:rsidR="00C728A4" w:rsidRPr="00024663" w:rsidRDefault="00C728A4" w:rsidP="00C728A4">
            <w:pPr>
              <w:rPr>
                <w:b/>
                <w:bCs/>
              </w:rPr>
            </w:pPr>
          </w:p>
        </w:tc>
        <w:tc>
          <w:tcPr>
            <w:tcW w:w="1786" w:type="pct"/>
            <w:tcBorders>
              <w:top w:val="nil"/>
              <w:bottom w:val="single" w:sz="4" w:space="0" w:color="auto"/>
            </w:tcBorders>
          </w:tcPr>
          <w:p w14:paraId="5FFE39EE" w14:textId="4E7D1D58" w:rsidR="00C728A4" w:rsidRPr="00026B23" w:rsidRDefault="001649A3" w:rsidP="00C728A4">
            <w:pPr>
              <w:rPr>
                <w:sz w:val="20"/>
                <w:szCs w:val="20"/>
              </w:rPr>
            </w:pPr>
            <w:r>
              <w:rPr>
                <w:sz w:val="20"/>
                <w:szCs w:val="20"/>
              </w:rPr>
              <w:t>2024</w:t>
            </w:r>
            <w:r w:rsidR="00C728A4">
              <w:rPr>
                <w:sz w:val="20"/>
                <w:szCs w:val="20"/>
              </w:rPr>
              <w:t xml:space="preserve"> prices</w:t>
            </w:r>
          </w:p>
        </w:tc>
        <w:tc>
          <w:tcPr>
            <w:tcW w:w="1746" w:type="pct"/>
            <w:tcBorders>
              <w:top w:val="nil"/>
              <w:bottom w:val="single" w:sz="4" w:space="0" w:color="auto"/>
            </w:tcBorders>
          </w:tcPr>
          <w:p w14:paraId="37013987" w14:textId="35F2058A" w:rsidR="00C728A4" w:rsidRPr="00026B23" w:rsidRDefault="001649A3" w:rsidP="00C728A4">
            <w:pPr>
              <w:rPr>
                <w:sz w:val="20"/>
                <w:szCs w:val="20"/>
              </w:rPr>
            </w:pPr>
            <w:r>
              <w:rPr>
                <w:sz w:val="20"/>
                <w:szCs w:val="20"/>
              </w:rPr>
              <w:t>2024</w:t>
            </w:r>
            <w:r w:rsidR="00C728A4">
              <w:rPr>
                <w:sz w:val="20"/>
                <w:szCs w:val="20"/>
              </w:rPr>
              <w:t xml:space="preserve"> prices</w:t>
            </w:r>
          </w:p>
        </w:tc>
      </w:tr>
      <w:tr w:rsidR="001649A3" w14:paraId="0CC5AF9C" w14:textId="77777777" w:rsidTr="00007941">
        <w:tc>
          <w:tcPr>
            <w:tcW w:w="1468" w:type="pct"/>
            <w:tcBorders>
              <w:top w:val="single" w:sz="4" w:space="0" w:color="auto"/>
            </w:tcBorders>
          </w:tcPr>
          <w:p w14:paraId="226497BF" w14:textId="77777777" w:rsidR="001649A3" w:rsidRDefault="001649A3" w:rsidP="001649A3">
            <w:r>
              <w:t>Low</w:t>
            </w:r>
          </w:p>
        </w:tc>
        <w:tc>
          <w:tcPr>
            <w:tcW w:w="1786" w:type="pct"/>
            <w:tcBorders>
              <w:top w:val="single" w:sz="4" w:space="0" w:color="auto"/>
            </w:tcBorders>
          </w:tcPr>
          <w:p w14:paraId="081E35E2" w14:textId="2652DB6B" w:rsidR="001649A3" w:rsidRDefault="001649A3" w:rsidP="001649A3">
            <w:r>
              <w:t>10,942</w:t>
            </w:r>
          </w:p>
        </w:tc>
        <w:tc>
          <w:tcPr>
            <w:tcW w:w="1746" w:type="pct"/>
            <w:tcBorders>
              <w:top w:val="single" w:sz="4" w:space="0" w:color="auto"/>
            </w:tcBorders>
          </w:tcPr>
          <w:p w14:paraId="0A05DB1F" w14:textId="60B0FE5B" w:rsidR="001649A3" w:rsidRDefault="004304CD" w:rsidP="001649A3">
            <w:r>
              <w:t>94,182</w:t>
            </w:r>
          </w:p>
        </w:tc>
      </w:tr>
      <w:tr w:rsidR="001649A3" w14:paraId="6F3B1523" w14:textId="77777777" w:rsidTr="00007941">
        <w:tc>
          <w:tcPr>
            <w:tcW w:w="1468" w:type="pct"/>
          </w:tcPr>
          <w:p w14:paraId="16EEAD98" w14:textId="77777777" w:rsidR="001649A3" w:rsidRDefault="001649A3" w:rsidP="001649A3">
            <w:r>
              <w:t>Central</w:t>
            </w:r>
          </w:p>
        </w:tc>
        <w:tc>
          <w:tcPr>
            <w:tcW w:w="1786" w:type="pct"/>
          </w:tcPr>
          <w:p w14:paraId="5D86635A" w14:textId="62F846EE" w:rsidR="001649A3" w:rsidRDefault="001649A3" w:rsidP="001649A3">
            <w:r>
              <w:t>32,825</w:t>
            </w:r>
          </w:p>
        </w:tc>
        <w:tc>
          <w:tcPr>
            <w:tcW w:w="1746" w:type="pct"/>
          </w:tcPr>
          <w:p w14:paraId="079E6A50" w14:textId="1AA2478B" w:rsidR="001649A3" w:rsidRDefault="004304CD" w:rsidP="001649A3">
            <w:r>
              <w:t>282,545</w:t>
            </w:r>
          </w:p>
        </w:tc>
      </w:tr>
      <w:tr w:rsidR="001649A3" w14:paraId="316A1680" w14:textId="77777777" w:rsidTr="00007941">
        <w:tc>
          <w:tcPr>
            <w:tcW w:w="1468" w:type="pct"/>
          </w:tcPr>
          <w:p w14:paraId="48A6C83D" w14:textId="77777777" w:rsidR="001649A3" w:rsidRDefault="001649A3" w:rsidP="001649A3">
            <w:r>
              <w:t>High</w:t>
            </w:r>
          </w:p>
        </w:tc>
        <w:tc>
          <w:tcPr>
            <w:tcW w:w="1786" w:type="pct"/>
          </w:tcPr>
          <w:p w14:paraId="415CB4FC" w14:textId="6BECEE9F" w:rsidR="001649A3" w:rsidRDefault="001649A3" w:rsidP="001649A3">
            <w:r>
              <w:t>54,708</w:t>
            </w:r>
          </w:p>
        </w:tc>
        <w:tc>
          <w:tcPr>
            <w:tcW w:w="1746" w:type="pct"/>
          </w:tcPr>
          <w:p w14:paraId="1C9805CF" w14:textId="10556565" w:rsidR="001649A3" w:rsidRDefault="004304CD" w:rsidP="001649A3">
            <w:r>
              <w:t>470,909</w:t>
            </w:r>
          </w:p>
        </w:tc>
      </w:tr>
    </w:tbl>
    <w:p w14:paraId="55F12470" w14:textId="77777777" w:rsidR="004051E6" w:rsidRDefault="004051E6" w:rsidP="0019307F"/>
    <w:p w14:paraId="0A26731D" w14:textId="441611AC" w:rsidR="00C57EFA" w:rsidRDefault="71D08BB7" w:rsidP="005D011F">
      <w:pPr>
        <w:pStyle w:val="Heading3"/>
      </w:pPr>
      <w:r>
        <w:t>Enforcement familiarisation costs</w:t>
      </w:r>
    </w:p>
    <w:p w14:paraId="091ED3CC" w14:textId="6BCA4F2E" w:rsidR="008B6D66" w:rsidRDefault="008B6D66" w:rsidP="00582D3E">
      <w:r>
        <w:t>We do not anticipate there being additional enforcement/inspection costs associated with the change in BFR legislation</w:t>
      </w:r>
      <w:r w:rsidR="00701D9F">
        <w:t>, as there will already be inspections ensuring non-wholemeal wheat flour is fortified with the four current fortificants. However, there will be a similar familiarisation cost</w:t>
      </w:r>
      <w:r w:rsidR="00680308">
        <w:t xml:space="preserve"> as trading standards officers incorporate the new regulation into their inspections.</w:t>
      </w:r>
    </w:p>
    <w:p w14:paraId="4745F9C0" w14:textId="77777777" w:rsidR="00C57EFA" w:rsidRPr="00582D3E" w:rsidRDefault="00C57EFA" w:rsidP="00582D3E"/>
    <w:p w14:paraId="0A6A2023" w14:textId="77777777" w:rsidR="00762163" w:rsidRDefault="00680308" w:rsidP="00A70924">
      <w:r w:rsidRPr="00A81742">
        <w:t xml:space="preserve">Assuming that a single </w:t>
      </w:r>
      <w:r w:rsidR="001501C9" w:rsidRPr="00A81742">
        <w:t xml:space="preserve">trading standards officer </w:t>
      </w:r>
      <w:r w:rsidRPr="00A81742">
        <w:t>in each local authority will familiarise themselves</w:t>
      </w:r>
      <w:r w:rsidR="002F305C" w:rsidRPr="00A81742">
        <w:t xml:space="preserve"> with the regulations</w:t>
      </w:r>
      <w:r w:rsidRPr="00A81742">
        <w:t xml:space="preserve">, and that </w:t>
      </w:r>
      <w:r w:rsidR="00954B32" w:rsidRPr="00A81742">
        <w:t>they spend the same amount of time reading as R&amp;D managers at grain millers</w:t>
      </w:r>
      <w:r w:rsidR="00984DB9" w:rsidRPr="00A81742">
        <w:t xml:space="preserve"> (A3</w:t>
      </w:r>
      <w:r w:rsidR="00A81742" w:rsidRPr="00A81742">
        <w:t>8</w:t>
      </w:r>
      <w:r w:rsidR="00984DB9" w:rsidRPr="00A81742">
        <w:t>)</w:t>
      </w:r>
      <w:r w:rsidR="00954B32" w:rsidRPr="00A81742">
        <w:t>, we</w:t>
      </w:r>
      <w:r w:rsidR="00954B32">
        <w:t xml:space="preserve"> can calculate the familiarisation costs the same way as we did for millers.</w:t>
      </w:r>
      <w:r w:rsidR="00F17400">
        <w:t xml:space="preserve"> </w:t>
      </w:r>
    </w:p>
    <w:p w14:paraId="00E59A13" w14:textId="77777777" w:rsidR="00762163" w:rsidRDefault="00762163" w:rsidP="00A70924"/>
    <w:p w14:paraId="19264BC5" w14:textId="245F8E5F" w:rsidR="00AF5051" w:rsidRDefault="00AF5051" w:rsidP="00A70924">
      <w:r>
        <w:t xml:space="preserve">Using the </w:t>
      </w:r>
      <w:r w:rsidR="005C3B11">
        <w:t xml:space="preserve">2021 </w:t>
      </w:r>
      <w:r>
        <w:t xml:space="preserve">UK median wage for </w:t>
      </w:r>
      <w:r w:rsidR="005C3B11">
        <w:t>‘i</w:t>
      </w:r>
      <w:r w:rsidR="005C3B11" w:rsidRPr="005C3B11">
        <w:t>nspectors of standards and regulations</w:t>
      </w:r>
      <w:r w:rsidR="005C3B11">
        <w:t>’</w:t>
      </w:r>
      <w:r>
        <w:t xml:space="preserve"> </w:t>
      </w:r>
      <w:r w:rsidR="005C3B11">
        <w:t>from ONS’ ASHE dataset</w:t>
      </w:r>
      <w:r w:rsidR="001501C9">
        <w:t xml:space="preserve"> (which covers trading standards officers)</w:t>
      </w:r>
      <w:r w:rsidR="005C3B11">
        <w:t>, we obtain:</w:t>
      </w:r>
    </w:p>
    <w:p w14:paraId="686BD063" w14:textId="77777777" w:rsidR="00D26161" w:rsidRPr="007F7B64" w:rsidRDefault="00D26161" w:rsidP="00A70924"/>
    <w:p w14:paraId="1B2E7AAA" w14:textId="09A6AAC8" w:rsidR="00F21130" w:rsidRPr="007F7B64" w:rsidRDefault="00F21130" w:rsidP="00F21130">
      <w:pPr>
        <w:pStyle w:val="Caption"/>
        <w:keepNext/>
        <w:rPr>
          <w:color w:val="auto"/>
        </w:rPr>
      </w:pPr>
      <w:r w:rsidRPr="007F7B64">
        <w:rPr>
          <w:color w:val="auto"/>
        </w:rPr>
        <w:t xml:space="preserve">Table </w:t>
      </w:r>
      <w:r w:rsidR="00000F90" w:rsidRPr="007F7B64">
        <w:rPr>
          <w:color w:val="auto"/>
        </w:rPr>
        <w:fldChar w:fldCharType="begin"/>
      </w:r>
      <w:r w:rsidR="00000F90" w:rsidRPr="007F7B64">
        <w:rPr>
          <w:color w:val="auto"/>
        </w:rPr>
        <w:instrText xml:space="preserve"> SEQ Table \* ARABIC </w:instrText>
      </w:r>
      <w:r w:rsidR="00000F90" w:rsidRPr="007F7B64">
        <w:rPr>
          <w:color w:val="auto"/>
        </w:rPr>
        <w:fldChar w:fldCharType="separate"/>
      </w:r>
      <w:r w:rsidR="000E33D5" w:rsidRPr="007F7B64">
        <w:rPr>
          <w:noProof/>
          <w:color w:val="auto"/>
        </w:rPr>
        <w:t>36</w:t>
      </w:r>
      <w:r w:rsidR="00000F90" w:rsidRPr="007F7B64">
        <w:rPr>
          <w:noProof/>
          <w:color w:val="auto"/>
        </w:rPr>
        <w:fldChar w:fldCharType="end"/>
      </w:r>
      <w:r w:rsidRPr="007F7B64">
        <w:rPr>
          <w:color w:val="auto"/>
        </w:rPr>
        <w:t>. Estimated familiarisation costs for enforcement officers in Scotland</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694"/>
        <w:gridCol w:w="1694"/>
        <w:gridCol w:w="1694"/>
        <w:gridCol w:w="1694"/>
        <w:gridCol w:w="1694"/>
      </w:tblGrid>
      <w:tr w:rsidR="0064122F" w14:paraId="7C46AD26" w14:textId="288C04DA" w:rsidTr="2837DE85">
        <w:trPr>
          <w:trHeight w:val="551"/>
        </w:trPr>
        <w:tc>
          <w:tcPr>
            <w:tcW w:w="655" w:type="pct"/>
            <w:vMerge w:val="restart"/>
            <w:tcBorders>
              <w:top w:val="single" w:sz="4" w:space="0" w:color="auto"/>
            </w:tcBorders>
          </w:tcPr>
          <w:p w14:paraId="1DF0B123" w14:textId="77777777" w:rsidR="0064122F" w:rsidRPr="006B620C" w:rsidRDefault="0064122F" w:rsidP="00100744">
            <w:pPr>
              <w:rPr>
                <w:b/>
                <w:bCs/>
              </w:rPr>
            </w:pPr>
          </w:p>
        </w:tc>
        <w:tc>
          <w:tcPr>
            <w:tcW w:w="869" w:type="pct"/>
            <w:tcBorders>
              <w:top w:val="single" w:sz="4" w:space="0" w:color="auto"/>
              <w:left w:val="nil"/>
              <w:bottom w:val="nil"/>
              <w:right w:val="nil"/>
            </w:tcBorders>
          </w:tcPr>
          <w:p w14:paraId="0B0505E2" w14:textId="7BD1FD87" w:rsidR="0064122F" w:rsidRPr="00074ADD" w:rsidRDefault="0064122F" w:rsidP="00100744">
            <w:pPr>
              <w:rPr>
                <w:b/>
                <w:bCs/>
              </w:rPr>
            </w:pPr>
            <w:r>
              <w:rPr>
                <w:b/>
                <w:bCs/>
              </w:rPr>
              <w:t>Reading time</w:t>
            </w:r>
          </w:p>
        </w:tc>
        <w:tc>
          <w:tcPr>
            <w:tcW w:w="869" w:type="pct"/>
            <w:tcBorders>
              <w:top w:val="single" w:sz="4" w:space="0" w:color="auto"/>
              <w:left w:val="nil"/>
              <w:bottom w:val="nil"/>
              <w:right w:val="nil"/>
            </w:tcBorders>
          </w:tcPr>
          <w:p w14:paraId="2879BFDC" w14:textId="1BC09E2C" w:rsidR="0064122F" w:rsidRDefault="0064122F" w:rsidP="00100744">
            <w:pPr>
              <w:rPr>
                <w:b/>
                <w:bCs/>
              </w:rPr>
            </w:pPr>
            <w:r>
              <w:rPr>
                <w:b/>
                <w:bCs/>
              </w:rPr>
              <w:t>Wage</w:t>
            </w:r>
          </w:p>
        </w:tc>
        <w:tc>
          <w:tcPr>
            <w:tcW w:w="869" w:type="pct"/>
            <w:tcBorders>
              <w:top w:val="single" w:sz="4" w:space="0" w:color="auto"/>
              <w:left w:val="nil"/>
              <w:bottom w:val="nil"/>
              <w:right w:val="nil"/>
            </w:tcBorders>
          </w:tcPr>
          <w:p w14:paraId="1F3B4979" w14:textId="53BDE3DF" w:rsidR="0064122F" w:rsidRDefault="0064122F" w:rsidP="00100744">
            <w:pPr>
              <w:rPr>
                <w:b/>
                <w:bCs/>
              </w:rPr>
            </w:pPr>
            <w:r>
              <w:rPr>
                <w:b/>
                <w:bCs/>
              </w:rPr>
              <w:t>Wage uplift</w:t>
            </w:r>
          </w:p>
        </w:tc>
        <w:tc>
          <w:tcPr>
            <w:tcW w:w="869" w:type="pct"/>
            <w:tcBorders>
              <w:top w:val="single" w:sz="4" w:space="0" w:color="auto"/>
              <w:left w:val="nil"/>
              <w:bottom w:val="nil"/>
              <w:right w:val="nil"/>
            </w:tcBorders>
          </w:tcPr>
          <w:p w14:paraId="001D1D8B" w14:textId="798FDDC2" w:rsidR="0064122F" w:rsidRDefault="0064122F" w:rsidP="00100744">
            <w:pPr>
              <w:rPr>
                <w:b/>
                <w:bCs/>
              </w:rPr>
            </w:pPr>
            <w:r>
              <w:rPr>
                <w:b/>
                <w:bCs/>
              </w:rPr>
              <w:t>Cost per officer</w:t>
            </w:r>
          </w:p>
        </w:tc>
        <w:tc>
          <w:tcPr>
            <w:tcW w:w="869" w:type="pct"/>
            <w:tcBorders>
              <w:top w:val="single" w:sz="4" w:space="0" w:color="auto"/>
              <w:left w:val="nil"/>
              <w:bottom w:val="nil"/>
              <w:right w:val="nil"/>
            </w:tcBorders>
          </w:tcPr>
          <w:p w14:paraId="1EA2FAD6" w14:textId="1F7CEDA3" w:rsidR="0064122F" w:rsidRDefault="29EBD790" w:rsidP="00100744">
            <w:pPr>
              <w:rPr>
                <w:b/>
                <w:bCs/>
              </w:rPr>
            </w:pPr>
            <w:r w:rsidRPr="2837DE85">
              <w:rPr>
                <w:b/>
                <w:bCs/>
              </w:rPr>
              <w:t>Total cost</w:t>
            </w:r>
            <w:r w:rsidR="3B256B4A" w:rsidRPr="2837DE85">
              <w:rPr>
                <w:b/>
                <w:bCs/>
              </w:rPr>
              <w:t xml:space="preserve"> for 32 LAs</w:t>
            </w:r>
          </w:p>
        </w:tc>
      </w:tr>
      <w:tr w:rsidR="0064122F" w14:paraId="2DECBB90" w14:textId="3F7DA5B8" w:rsidTr="2837DE85">
        <w:trPr>
          <w:trHeight w:val="123"/>
        </w:trPr>
        <w:tc>
          <w:tcPr>
            <w:tcW w:w="655" w:type="pct"/>
            <w:vMerge/>
          </w:tcPr>
          <w:p w14:paraId="1FA33D20" w14:textId="77777777" w:rsidR="0064122F" w:rsidRPr="00F454B6" w:rsidRDefault="0064122F" w:rsidP="00100744">
            <w:pPr>
              <w:rPr>
                <w:sz w:val="20"/>
                <w:szCs w:val="20"/>
              </w:rPr>
            </w:pPr>
          </w:p>
        </w:tc>
        <w:tc>
          <w:tcPr>
            <w:tcW w:w="869" w:type="pct"/>
            <w:tcBorders>
              <w:top w:val="nil"/>
              <w:left w:val="nil"/>
              <w:bottom w:val="single" w:sz="4" w:space="0" w:color="auto"/>
              <w:right w:val="nil"/>
            </w:tcBorders>
          </w:tcPr>
          <w:p w14:paraId="0BC189A4" w14:textId="64F1CAB8" w:rsidR="0064122F" w:rsidRPr="00F454B6" w:rsidRDefault="0064122F" w:rsidP="00100744">
            <w:pPr>
              <w:rPr>
                <w:sz w:val="20"/>
                <w:szCs w:val="20"/>
              </w:rPr>
            </w:pPr>
            <w:r w:rsidRPr="00F454B6">
              <w:rPr>
                <w:sz w:val="20"/>
                <w:szCs w:val="20"/>
              </w:rPr>
              <w:t>Hours</w:t>
            </w:r>
          </w:p>
        </w:tc>
        <w:tc>
          <w:tcPr>
            <w:tcW w:w="869" w:type="pct"/>
            <w:tcBorders>
              <w:top w:val="nil"/>
              <w:left w:val="nil"/>
              <w:bottom w:val="single" w:sz="4" w:space="0" w:color="auto"/>
              <w:right w:val="nil"/>
            </w:tcBorders>
          </w:tcPr>
          <w:p w14:paraId="6D1F8A6E" w14:textId="2C7A86E4" w:rsidR="0064122F" w:rsidRPr="00F454B6" w:rsidRDefault="0064122F" w:rsidP="00100744">
            <w:pPr>
              <w:rPr>
                <w:sz w:val="20"/>
                <w:szCs w:val="20"/>
              </w:rPr>
            </w:pPr>
            <w:r>
              <w:rPr>
                <w:sz w:val="20"/>
                <w:szCs w:val="20"/>
              </w:rPr>
              <w:t xml:space="preserve">£ </w:t>
            </w:r>
            <w:r w:rsidR="00047A8A">
              <w:rPr>
                <w:sz w:val="20"/>
                <w:szCs w:val="20"/>
              </w:rPr>
              <w:t>2024</w:t>
            </w:r>
          </w:p>
        </w:tc>
        <w:tc>
          <w:tcPr>
            <w:tcW w:w="869" w:type="pct"/>
            <w:tcBorders>
              <w:top w:val="nil"/>
              <w:left w:val="nil"/>
              <w:bottom w:val="single" w:sz="4" w:space="0" w:color="auto"/>
              <w:right w:val="nil"/>
            </w:tcBorders>
          </w:tcPr>
          <w:p w14:paraId="53C0BB16" w14:textId="36DBCB23" w:rsidR="0064122F" w:rsidRDefault="0064122F" w:rsidP="00100744">
            <w:pPr>
              <w:rPr>
                <w:sz w:val="20"/>
                <w:szCs w:val="20"/>
              </w:rPr>
            </w:pPr>
            <w:r>
              <w:rPr>
                <w:sz w:val="20"/>
                <w:szCs w:val="20"/>
              </w:rPr>
              <w:t>%</w:t>
            </w:r>
          </w:p>
        </w:tc>
        <w:tc>
          <w:tcPr>
            <w:tcW w:w="869" w:type="pct"/>
            <w:tcBorders>
              <w:top w:val="nil"/>
              <w:left w:val="nil"/>
              <w:bottom w:val="single" w:sz="4" w:space="0" w:color="auto"/>
              <w:right w:val="nil"/>
            </w:tcBorders>
          </w:tcPr>
          <w:p w14:paraId="5D5C4207" w14:textId="0E433EC2" w:rsidR="0064122F" w:rsidRPr="00F454B6" w:rsidRDefault="0064122F" w:rsidP="00100744">
            <w:pPr>
              <w:rPr>
                <w:sz w:val="20"/>
                <w:szCs w:val="20"/>
              </w:rPr>
            </w:pPr>
            <w:r>
              <w:rPr>
                <w:sz w:val="20"/>
                <w:szCs w:val="20"/>
              </w:rPr>
              <w:t xml:space="preserve">£ </w:t>
            </w:r>
            <w:r w:rsidR="00047A8A">
              <w:rPr>
                <w:sz w:val="20"/>
                <w:szCs w:val="20"/>
              </w:rPr>
              <w:t>2024</w:t>
            </w:r>
          </w:p>
        </w:tc>
        <w:tc>
          <w:tcPr>
            <w:tcW w:w="869" w:type="pct"/>
            <w:tcBorders>
              <w:top w:val="nil"/>
              <w:left w:val="nil"/>
              <w:bottom w:val="single" w:sz="4" w:space="0" w:color="auto"/>
              <w:right w:val="nil"/>
            </w:tcBorders>
          </w:tcPr>
          <w:p w14:paraId="524B4EC5" w14:textId="719AEE13" w:rsidR="0064122F" w:rsidRDefault="00475500" w:rsidP="00100744">
            <w:pPr>
              <w:rPr>
                <w:sz w:val="20"/>
                <w:szCs w:val="20"/>
              </w:rPr>
            </w:pPr>
            <w:r>
              <w:rPr>
                <w:sz w:val="20"/>
                <w:szCs w:val="20"/>
              </w:rPr>
              <w:t xml:space="preserve">£ </w:t>
            </w:r>
            <w:r w:rsidR="00047A8A">
              <w:rPr>
                <w:sz w:val="20"/>
                <w:szCs w:val="20"/>
              </w:rPr>
              <w:t>2024</w:t>
            </w:r>
          </w:p>
        </w:tc>
      </w:tr>
      <w:tr w:rsidR="0064122F" w14:paraId="4AC8485A" w14:textId="2DC16FAB" w:rsidTr="2837DE85">
        <w:tc>
          <w:tcPr>
            <w:tcW w:w="655" w:type="pct"/>
            <w:tcBorders>
              <w:top w:val="single" w:sz="4" w:space="0" w:color="auto"/>
            </w:tcBorders>
          </w:tcPr>
          <w:p w14:paraId="6DE4513C" w14:textId="77777777" w:rsidR="0064122F" w:rsidRDefault="0064122F" w:rsidP="00100744">
            <w:r>
              <w:t>Low</w:t>
            </w:r>
          </w:p>
        </w:tc>
        <w:tc>
          <w:tcPr>
            <w:tcW w:w="869" w:type="pct"/>
            <w:tcBorders>
              <w:top w:val="single" w:sz="4" w:space="0" w:color="auto"/>
              <w:left w:val="nil"/>
              <w:right w:val="nil"/>
            </w:tcBorders>
          </w:tcPr>
          <w:p w14:paraId="6A0292B4" w14:textId="7E1C8577" w:rsidR="0064122F" w:rsidRDefault="0064122F" w:rsidP="00100744">
            <w:r>
              <w:t>0.9</w:t>
            </w:r>
          </w:p>
        </w:tc>
        <w:tc>
          <w:tcPr>
            <w:tcW w:w="869" w:type="pct"/>
            <w:tcBorders>
              <w:top w:val="single" w:sz="4" w:space="0" w:color="auto"/>
              <w:left w:val="nil"/>
              <w:right w:val="nil"/>
            </w:tcBorders>
          </w:tcPr>
          <w:p w14:paraId="612382A0" w14:textId="4752310E" w:rsidR="0064122F" w:rsidRDefault="0064122F" w:rsidP="00100744">
            <w:r>
              <w:t>1</w:t>
            </w:r>
            <w:r w:rsidR="00636E82">
              <w:t>5.91</w:t>
            </w:r>
          </w:p>
        </w:tc>
        <w:tc>
          <w:tcPr>
            <w:tcW w:w="869" w:type="pct"/>
            <w:tcBorders>
              <w:top w:val="single" w:sz="4" w:space="0" w:color="auto"/>
              <w:left w:val="nil"/>
              <w:right w:val="nil"/>
            </w:tcBorders>
          </w:tcPr>
          <w:p w14:paraId="790A1BFA" w14:textId="6BCD5EBB" w:rsidR="0064122F" w:rsidRDefault="0064122F" w:rsidP="00100744">
            <w:r>
              <w:t>19</w:t>
            </w:r>
          </w:p>
        </w:tc>
        <w:tc>
          <w:tcPr>
            <w:tcW w:w="869" w:type="pct"/>
            <w:tcBorders>
              <w:top w:val="single" w:sz="4" w:space="0" w:color="auto"/>
              <w:left w:val="nil"/>
              <w:right w:val="nil"/>
            </w:tcBorders>
          </w:tcPr>
          <w:p w14:paraId="06479881" w14:textId="4D15E159" w:rsidR="0064122F" w:rsidRDefault="00D12693" w:rsidP="00100744">
            <w:r>
              <w:t>£</w:t>
            </w:r>
            <w:r w:rsidR="00E0612F">
              <w:t>17.51</w:t>
            </w:r>
          </w:p>
        </w:tc>
        <w:tc>
          <w:tcPr>
            <w:tcW w:w="869" w:type="pct"/>
            <w:tcBorders>
              <w:top w:val="single" w:sz="4" w:space="0" w:color="auto"/>
              <w:left w:val="nil"/>
              <w:right w:val="nil"/>
            </w:tcBorders>
          </w:tcPr>
          <w:p w14:paraId="70E5C923" w14:textId="121D82DF" w:rsidR="0064122F" w:rsidRDefault="003F34CB" w:rsidP="00100744">
            <w:r>
              <w:t>560.</w:t>
            </w:r>
            <w:r w:rsidR="00832EA3">
              <w:t>2</w:t>
            </w:r>
            <w:r w:rsidR="005378B7">
              <w:t>2</w:t>
            </w:r>
          </w:p>
        </w:tc>
      </w:tr>
      <w:tr w:rsidR="0064122F" w14:paraId="3CCB1A09" w14:textId="615B51EF" w:rsidTr="2837DE85">
        <w:tc>
          <w:tcPr>
            <w:tcW w:w="655" w:type="pct"/>
          </w:tcPr>
          <w:p w14:paraId="008C728D" w14:textId="77777777" w:rsidR="0064122F" w:rsidRDefault="0064122F" w:rsidP="00100744">
            <w:r>
              <w:t>Central</w:t>
            </w:r>
          </w:p>
        </w:tc>
        <w:tc>
          <w:tcPr>
            <w:tcW w:w="869" w:type="pct"/>
            <w:tcBorders>
              <w:left w:val="nil"/>
              <w:right w:val="nil"/>
            </w:tcBorders>
          </w:tcPr>
          <w:p w14:paraId="64C35CA7" w14:textId="0452EA30" w:rsidR="0064122F" w:rsidRDefault="0064122F" w:rsidP="00100744">
            <w:r>
              <w:t>1.2</w:t>
            </w:r>
          </w:p>
        </w:tc>
        <w:tc>
          <w:tcPr>
            <w:tcW w:w="869" w:type="pct"/>
            <w:tcBorders>
              <w:left w:val="nil"/>
              <w:right w:val="nil"/>
            </w:tcBorders>
          </w:tcPr>
          <w:p w14:paraId="7577645F" w14:textId="451D3B1E" w:rsidR="0064122F" w:rsidRDefault="0064122F" w:rsidP="00100744">
            <w:r>
              <w:t>1</w:t>
            </w:r>
            <w:r w:rsidR="007A1503">
              <w:t>7.</w:t>
            </w:r>
            <w:r w:rsidR="00455B9B">
              <w:t>39</w:t>
            </w:r>
          </w:p>
        </w:tc>
        <w:tc>
          <w:tcPr>
            <w:tcW w:w="869" w:type="pct"/>
            <w:tcBorders>
              <w:left w:val="nil"/>
              <w:right w:val="nil"/>
            </w:tcBorders>
          </w:tcPr>
          <w:p w14:paraId="459A119E" w14:textId="72B900F2" w:rsidR="0064122F" w:rsidRDefault="0064122F" w:rsidP="00100744">
            <w:r>
              <w:t>19</w:t>
            </w:r>
          </w:p>
        </w:tc>
        <w:tc>
          <w:tcPr>
            <w:tcW w:w="869" w:type="pct"/>
            <w:tcBorders>
              <w:left w:val="nil"/>
              <w:right w:val="nil"/>
            </w:tcBorders>
          </w:tcPr>
          <w:p w14:paraId="68DD0724" w14:textId="10AC8682" w:rsidR="0064122F" w:rsidRDefault="00D12693" w:rsidP="00100744">
            <w:r>
              <w:t>£</w:t>
            </w:r>
            <w:r w:rsidR="00E0612F">
              <w:t>25.50</w:t>
            </w:r>
          </w:p>
        </w:tc>
        <w:tc>
          <w:tcPr>
            <w:tcW w:w="869" w:type="pct"/>
            <w:tcBorders>
              <w:left w:val="nil"/>
              <w:right w:val="nil"/>
            </w:tcBorders>
          </w:tcPr>
          <w:p w14:paraId="07631F9C" w14:textId="6C165F24" w:rsidR="0064122F" w:rsidRDefault="00832EA3" w:rsidP="00100744">
            <w:r>
              <w:t>816.09</w:t>
            </w:r>
          </w:p>
        </w:tc>
      </w:tr>
      <w:tr w:rsidR="0064122F" w14:paraId="1827B902" w14:textId="3C50B76A" w:rsidTr="2837DE85">
        <w:tc>
          <w:tcPr>
            <w:tcW w:w="655" w:type="pct"/>
          </w:tcPr>
          <w:p w14:paraId="56B2972C" w14:textId="77777777" w:rsidR="0064122F" w:rsidRDefault="0064122F" w:rsidP="00100744">
            <w:r>
              <w:t>High</w:t>
            </w:r>
          </w:p>
        </w:tc>
        <w:tc>
          <w:tcPr>
            <w:tcW w:w="869" w:type="pct"/>
            <w:tcBorders>
              <w:left w:val="nil"/>
              <w:bottom w:val="single" w:sz="4" w:space="0" w:color="auto"/>
              <w:right w:val="nil"/>
            </w:tcBorders>
          </w:tcPr>
          <w:p w14:paraId="493EE3EC" w14:textId="7E49E46B" w:rsidR="0064122F" w:rsidRDefault="0064122F" w:rsidP="00100744">
            <w:r>
              <w:t>1.</w:t>
            </w:r>
            <w:r w:rsidR="00EC2BB7">
              <w:t>8</w:t>
            </w:r>
          </w:p>
        </w:tc>
        <w:tc>
          <w:tcPr>
            <w:tcW w:w="869" w:type="pct"/>
            <w:tcBorders>
              <w:left w:val="nil"/>
              <w:bottom w:val="single" w:sz="4" w:space="0" w:color="auto"/>
              <w:right w:val="nil"/>
            </w:tcBorders>
          </w:tcPr>
          <w:p w14:paraId="7E787DCA" w14:textId="088DA694" w:rsidR="0064122F" w:rsidRDefault="00BF795C" w:rsidP="00100744">
            <w:r>
              <w:t>22.</w:t>
            </w:r>
            <w:r w:rsidR="0048275B">
              <w:t>58</w:t>
            </w:r>
          </w:p>
        </w:tc>
        <w:tc>
          <w:tcPr>
            <w:tcW w:w="869" w:type="pct"/>
            <w:tcBorders>
              <w:left w:val="nil"/>
              <w:bottom w:val="single" w:sz="4" w:space="0" w:color="auto"/>
              <w:right w:val="nil"/>
            </w:tcBorders>
          </w:tcPr>
          <w:p w14:paraId="0A167ED3" w14:textId="74B4A031" w:rsidR="0064122F" w:rsidRDefault="0064122F" w:rsidP="00100744">
            <w:r>
              <w:t>19</w:t>
            </w:r>
          </w:p>
        </w:tc>
        <w:tc>
          <w:tcPr>
            <w:tcW w:w="869" w:type="pct"/>
            <w:tcBorders>
              <w:left w:val="nil"/>
              <w:bottom w:val="single" w:sz="4" w:space="0" w:color="auto"/>
              <w:right w:val="nil"/>
            </w:tcBorders>
          </w:tcPr>
          <w:p w14:paraId="114DD5C8" w14:textId="03F0DE9A" w:rsidR="0064122F" w:rsidRDefault="00FC107F" w:rsidP="00100744">
            <w:r>
              <w:t>£</w:t>
            </w:r>
            <w:r w:rsidR="00E0612F">
              <w:t>49.67</w:t>
            </w:r>
          </w:p>
        </w:tc>
        <w:tc>
          <w:tcPr>
            <w:tcW w:w="869" w:type="pct"/>
            <w:tcBorders>
              <w:left w:val="nil"/>
              <w:bottom w:val="single" w:sz="4" w:space="0" w:color="auto"/>
              <w:right w:val="nil"/>
            </w:tcBorders>
          </w:tcPr>
          <w:p w14:paraId="7F993F23" w14:textId="4BC8EBCA" w:rsidR="0064122F" w:rsidRDefault="00832EA3" w:rsidP="00100744">
            <w:r>
              <w:t>1,589</w:t>
            </w:r>
            <w:r w:rsidR="0006499C">
              <w:t>.</w:t>
            </w:r>
            <w:r w:rsidR="00A40E5F">
              <w:t>50</w:t>
            </w:r>
          </w:p>
        </w:tc>
      </w:tr>
    </w:tbl>
    <w:p w14:paraId="55E06E34" w14:textId="487F788B" w:rsidR="00D26161" w:rsidRDefault="00D26161" w:rsidP="00D26161">
      <w:pPr>
        <w:jc w:val="right"/>
      </w:pPr>
      <w:r>
        <w:rPr>
          <w:sz w:val="20"/>
          <w:szCs w:val="20"/>
        </w:rPr>
        <w:t>Source: EFTEC, 2013; DHSC analysis of current BFR legislation</w:t>
      </w:r>
      <w:r w:rsidR="0054768D">
        <w:rPr>
          <w:sz w:val="20"/>
          <w:szCs w:val="20"/>
        </w:rPr>
        <w:t>; HMT GDP deflators.</w:t>
      </w:r>
    </w:p>
    <w:p w14:paraId="21C7D48F" w14:textId="77777777" w:rsidR="00DC74A8" w:rsidRDefault="00DC74A8" w:rsidP="00DC74A8"/>
    <w:p w14:paraId="4F138487" w14:textId="277D5E13" w:rsidR="00D51EC9" w:rsidRDefault="354D16EF" w:rsidP="005D011F">
      <w:pPr>
        <w:pStyle w:val="Heading3"/>
      </w:pPr>
      <w:r>
        <w:t>Non-monetised costs</w:t>
      </w:r>
    </w:p>
    <w:p w14:paraId="71411AB1" w14:textId="58FAF3C2" w:rsidR="00D51EC9" w:rsidRPr="007F7B64" w:rsidRDefault="5794CF67" w:rsidP="007B0647">
      <w:pPr>
        <w:pStyle w:val="Heading4"/>
        <w:rPr>
          <w:color w:val="auto"/>
        </w:rPr>
      </w:pPr>
      <w:r w:rsidRPr="007F7B64">
        <w:rPr>
          <w:color w:val="auto"/>
        </w:rPr>
        <w:t>Industry</w:t>
      </w:r>
    </w:p>
    <w:p w14:paraId="613B0320" w14:textId="2C11824D" w:rsidR="00C6372D" w:rsidRDefault="00C6372D" w:rsidP="00C6372D">
      <w:r>
        <w:t>There may be costs associated with the technical process of flour milling as a result of the mandated addition of folic acid. We assume that millers will add the folic acid as part of the existing fortification process with the other four fortificants, mitigating costs which would be associated with introducing a new process.</w:t>
      </w:r>
    </w:p>
    <w:p w14:paraId="20735069" w14:textId="77777777" w:rsidR="00C6372D" w:rsidRDefault="00C6372D" w:rsidP="00C6372D"/>
    <w:p w14:paraId="2FF3C53C" w14:textId="266E4F9A" w:rsidR="00C6372D" w:rsidRDefault="00C6372D" w:rsidP="00C6372D">
      <w:r>
        <w:t>Smaller and traditional millers may find their manufacturing process impacted more, however under the preferred option (Option 5) millers that produce less than 500 tonnes of flour annually will be exempt from the folic acid fortification requirement, which will cover the majority of these cases.</w:t>
      </w:r>
    </w:p>
    <w:p w14:paraId="2CE495FA" w14:textId="77777777" w:rsidR="00C6372D" w:rsidRDefault="00C6372D" w:rsidP="00C6372D"/>
    <w:p w14:paraId="35E25AC6" w14:textId="74EAFE98" w:rsidR="00C6372D" w:rsidRDefault="00C6372D" w:rsidP="00C6372D">
      <w:r>
        <w:t>Industry may also face reduced profits as a result of consumer preference, with some consumers unwilling or unable to purchase products containing folic acid. We have not quantified this impact due to a lack of evidence surrounding consumer opinion on folic acid, and due to the fact that many consumers who will shift their purchases from products fortified with folic acid will be able to substitute for non-fortified wholemeal alternatives meaning minimal lost-profits to industry as a whole.</w:t>
      </w:r>
    </w:p>
    <w:p w14:paraId="4977FA21" w14:textId="77777777" w:rsidR="00C6372D" w:rsidRDefault="00C6372D" w:rsidP="00C6372D"/>
    <w:p w14:paraId="47C13ED0" w14:textId="167D956C" w:rsidR="00C6372D" w:rsidRDefault="00C6372D" w:rsidP="00C6372D">
      <w:r>
        <w:t>Millers would face costs owing to additional quality assurance measures that would be required in order to ensure that the non-wholemeal wheat flour they produce complies with the new regulation. We have not monetised this additional cost as it should be minimal due to existing quality assurance measures in place to comply with current regulations regarding other fortificants.</w:t>
      </w:r>
    </w:p>
    <w:p w14:paraId="33F54E1B" w14:textId="77777777" w:rsidR="0091150D" w:rsidRDefault="0091150D" w:rsidP="00C6372D"/>
    <w:p w14:paraId="3DA92E45" w14:textId="090AAB92" w:rsidR="0091150D" w:rsidRDefault="00C6372D" w:rsidP="00C6372D">
      <w:r>
        <w:t>Food manufacturers who produce products that contain NWWF will see the list of fortificants in the flour they buy change following the implementation of this legislation. They’ll need to take some time to understand these changes and the implications for their packaging. But since these changes are minor from their point of view - they’re used to using fortified flour - this should be very quick and easily absorbed into existing operations. Since these costs are likely to be negligible, we’ve not estimated them.</w:t>
      </w:r>
    </w:p>
    <w:p w14:paraId="49AAAB82" w14:textId="7F86F949" w:rsidR="0091150D" w:rsidRPr="007F7B64" w:rsidRDefault="00762163" w:rsidP="007B0647">
      <w:pPr>
        <w:pStyle w:val="Heading4"/>
        <w:numPr>
          <w:ilvl w:val="0"/>
          <w:numId w:val="0"/>
        </w:numPr>
        <w:rPr>
          <w:color w:val="auto"/>
        </w:rPr>
      </w:pPr>
      <w:r>
        <w:rPr>
          <w:color w:val="auto"/>
        </w:rPr>
        <w:t xml:space="preserve">17.1.6.2 </w:t>
      </w:r>
      <w:r w:rsidR="0091150D" w:rsidRPr="007F7B64">
        <w:rPr>
          <w:color w:val="auto"/>
        </w:rPr>
        <w:t>Consumers</w:t>
      </w:r>
    </w:p>
    <w:p w14:paraId="4896C3E2" w14:textId="298D2382" w:rsidR="007856FB" w:rsidRDefault="007856FB" w:rsidP="00762163">
      <w:r>
        <w:t>There will be a small non-monetised cost to consumers from a decrease in choice of products that do not contain folic acid. Some consumers may choose not to consume products containing folic acid and as such will need to alter their consumption habits. Whilst there will be alternatives such as wholemeal wheat flour or non-wheat based flour which will not require mandatory fortification, these options may be more expensive. We have not monetised this cost due to the difficulty of placing a monetary value on this consumer welfare loss.</w:t>
      </w:r>
    </w:p>
    <w:p w14:paraId="532FC125" w14:textId="77777777" w:rsidR="007856FB" w:rsidRDefault="007856FB" w:rsidP="00762163"/>
    <w:p w14:paraId="31002DE7" w14:textId="692CC778" w:rsidR="007856FB" w:rsidRDefault="007856FB" w:rsidP="00762163">
      <w:r>
        <w:t>There will be a small increase in the risk of people exceeding the Guidance Level of folic acid consumption as a result of the policy (previous FSS modelling estimates 0.4-0.6% of the population). A number of risk assessment bodies have assessed the potential effects of excess folic acid intake, including the US institute of Medicine Food and Nutrition Board (IOM, 1998), the EU Scientific Committee on Food (SCF, 2000) and the UK Expert group on Vitamins and Minerals (EVM, 2003).</w:t>
      </w:r>
    </w:p>
    <w:p w14:paraId="78FBB8EC" w14:textId="77777777" w:rsidR="007856FB" w:rsidRDefault="007856FB" w:rsidP="00762163"/>
    <w:p w14:paraId="6EEDB1CF" w14:textId="597964F1" w:rsidR="007856FB" w:rsidRDefault="007856FB" w:rsidP="00762163">
      <w:r>
        <w:t xml:space="preserve">The SCF and EVM considered the potential masking of diagnosis of pernicious anaemia (an autoimmune condition that affects the stomach and prevents absorption of vitamin B12) to be the main concern. In people with vitamin B12 deficiency, high dose folic acid supplementation can improve the symptoms of anaemia. This can make it more difficult to detect the vitamin B12 deficiency which can lead to the damage of nerves and the spinal cord. This can result in severe disability if the deficiency continues undetected. Whilst folic acid would help improve haematological status, it would not prevent the neurological effects associated with the condition, which can lead to irreversible damage without treatment. </w:t>
      </w:r>
    </w:p>
    <w:p w14:paraId="0F2CD98D" w14:textId="77777777" w:rsidR="007856FB" w:rsidRDefault="007856FB" w:rsidP="00762163"/>
    <w:p w14:paraId="796E9B89" w14:textId="47307B06" w:rsidR="0091150D" w:rsidRDefault="007856FB" w:rsidP="007856FB">
      <w:r>
        <w:t xml:space="preserve">Modelling from FSS showed the proportion of people that could exceed the Guidance </w:t>
      </w:r>
      <w:r w:rsidR="00DF2712">
        <w:t>L</w:t>
      </w:r>
      <w:r>
        <w:t>evel of folic acid given different levels of fortification of non-wholemeal wheat flour.</w:t>
      </w:r>
    </w:p>
    <w:p w14:paraId="22E1BAD9" w14:textId="77777777" w:rsidR="004F390E" w:rsidRDefault="004F390E" w:rsidP="007856FB"/>
    <w:p w14:paraId="664149E3" w14:textId="6F239B92" w:rsidR="004F390E" w:rsidRPr="007F7B64" w:rsidRDefault="004F390E" w:rsidP="004F390E">
      <w:pPr>
        <w:pStyle w:val="Caption"/>
        <w:keepNext/>
        <w:rPr>
          <w:color w:val="auto"/>
        </w:rPr>
      </w:pPr>
      <w:bookmarkStart w:id="139" w:name="_Ref164416067"/>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37</w:t>
      </w:r>
      <w:r w:rsidRPr="007F7B64">
        <w:rPr>
          <w:color w:val="auto"/>
        </w:rPr>
        <w:fldChar w:fldCharType="end"/>
      </w:r>
      <w:bookmarkEnd w:id="139"/>
      <w:r w:rsidRPr="007F7B64">
        <w:rPr>
          <w:color w:val="auto"/>
        </w:rPr>
        <w:t>. Potential percentage of people exceeding the Guidance Level of folic acid intake, (FSS analysis)</w:t>
      </w:r>
    </w:p>
    <w:tbl>
      <w:tblPr>
        <w:tblW w:w="5000" w:type="pct"/>
        <w:tblBorders>
          <w:top w:val="single" w:sz="4" w:space="0" w:color="auto"/>
          <w:bottom w:val="single" w:sz="4" w:space="0" w:color="auto"/>
        </w:tblBorders>
        <w:tblCellMar>
          <w:top w:w="28" w:type="dxa"/>
          <w:left w:w="57" w:type="dxa"/>
          <w:bottom w:w="28" w:type="dxa"/>
          <w:right w:w="57" w:type="dxa"/>
        </w:tblCellMar>
        <w:tblLook w:val="04A0" w:firstRow="1" w:lastRow="0" w:firstColumn="1" w:lastColumn="0" w:noHBand="0" w:noVBand="1"/>
      </w:tblPr>
      <w:tblGrid>
        <w:gridCol w:w="2127"/>
        <w:gridCol w:w="2976"/>
        <w:gridCol w:w="4643"/>
      </w:tblGrid>
      <w:tr w:rsidR="00F30EC0" w:rsidRPr="002555DE" w14:paraId="79892073" w14:textId="77777777" w:rsidTr="00C73DC3">
        <w:tc>
          <w:tcPr>
            <w:tcW w:w="1091" w:type="pct"/>
            <w:tcBorders>
              <w:top w:val="single" w:sz="4" w:space="0" w:color="auto"/>
              <w:bottom w:val="single" w:sz="4" w:space="0" w:color="auto"/>
            </w:tcBorders>
            <w:hideMark/>
          </w:tcPr>
          <w:p w14:paraId="2C541FB5" w14:textId="77777777" w:rsidR="00F30EC0" w:rsidRPr="002555DE" w:rsidRDefault="00F30EC0" w:rsidP="002555DE">
            <w:pPr>
              <w:pStyle w:val="Compact"/>
              <w:rPr>
                <w:b/>
                <w:bCs/>
                <w:sz w:val="24"/>
                <w:szCs w:val="24"/>
              </w:rPr>
            </w:pPr>
            <w:r w:rsidRPr="002555DE">
              <w:rPr>
                <w:b/>
                <w:bCs/>
                <w:sz w:val="24"/>
                <w:szCs w:val="24"/>
              </w:rPr>
              <w:t>Level of fortification (ug/100g)</w:t>
            </w:r>
          </w:p>
        </w:tc>
        <w:tc>
          <w:tcPr>
            <w:tcW w:w="1527" w:type="pct"/>
            <w:tcBorders>
              <w:top w:val="single" w:sz="4" w:space="0" w:color="auto"/>
              <w:bottom w:val="single" w:sz="4" w:space="0" w:color="auto"/>
            </w:tcBorders>
            <w:hideMark/>
          </w:tcPr>
          <w:p w14:paraId="32512105" w14:textId="77777777" w:rsidR="00F30EC0" w:rsidRPr="002555DE" w:rsidRDefault="00F30EC0" w:rsidP="002555DE">
            <w:pPr>
              <w:pStyle w:val="Compact"/>
              <w:rPr>
                <w:b/>
                <w:bCs/>
                <w:sz w:val="24"/>
                <w:szCs w:val="24"/>
              </w:rPr>
            </w:pPr>
            <w:r w:rsidRPr="002555DE">
              <w:rPr>
                <w:b/>
                <w:bCs/>
                <w:sz w:val="24"/>
                <w:szCs w:val="24"/>
              </w:rPr>
              <w:t>Without restrictions on voluntary fortification</w:t>
            </w:r>
          </w:p>
        </w:tc>
        <w:tc>
          <w:tcPr>
            <w:tcW w:w="2382" w:type="pct"/>
            <w:tcBorders>
              <w:top w:val="single" w:sz="4" w:space="0" w:color="auto"/>
              <w:bottom w:val="single" w:sz="4" w:space="0" w:color="auto"/>
            </w:tcBorders>
            <w:hideMark/>
          </w:tcPr>
          <w:p w14:paraId="6D6C947B" w14:textId="77777777" w:rsidR="00F30EC0" w:rsidRPr="002555DE" w:rsidRDefault="00F30EC0" w:rsidP="002555DE">
            <w:pPr>
              <w:pStyle w:val="Compact"/>
              <w:rPr>
                <w:b/>
                <w:bCs/>
                <w:sz w:val="24"/>
                <w:szCs w:val="24"/>
              </w:rPr>
            </w:pPr>
            <w:r w:rsidRPr="002555DE">
              <w:rPr>
                <w:b/>
                <w:bCs/>
                <w:sz w:val="24"/>
                <w:szCs w:val="24"/>
              </w:rPr>
              <w:t>With restrictions on voluntary fortification of breakfast cereals, spreads and supplements.</w:t>
            </w:r>
          </w:p>
        </w:tc>
      </w:tr>
      <w:tr w:rsidR="00F30EC0" w:rsidRPr="002555DE" w14:paraId="35B3F458" w14:textId="77777777" w:rsidTr="00C73DC3">
        <w:tc>
          <w:tcPr>
            <w:tcW w:w="1091" w:type="pct"/>
            <w:tcBorders>
              <w:top w:val="single" w:sz="4" w:space="0" w:color="auto"/>
              <w:bottom w:val="nil"/>
            </w:tcBorders>
            <w:hideMark/>
          </w:tcPr>
          <w:p w14:paraId="1CAEE007" w14:textId="77777777" w:rsidR="00F30EC0" w:rsidRPr="002555DE" w:rsidRDefault="00F30EC0" w:rsidP="002555DE">
            <w:pPr>
              <w:pStyle w:val="Compact"/>
              <w:rPr>
                <w:sz w:val="24"/>
                <w:szCs w:val="24"/>
              </w:rPr>
            </w:pPr>
            <w:r w:rsidRPr="002555DE">
              <w:rPr>
                <w:sz w:val="24"/>
                <w:szCs w:val="24"/>
              </w:rPr>
              <w:t>0</w:t>
            </w:r>
          </w:p>
        </w:tc>
        <w:tc>
          <w:tcPr>
            <w:tcW w:w="1527" w:type="pct"/>
            <w:tcBorders>
              <w:top w:val="single" w:sz="4" w:space="0" w:color="auto"/>
              <w:bottom w:val="nil"/>
            </w:tcBorders>
            <w:hideMark/>
          </w:tcPr>
          <w:p w14:paraId="7BD536F2" w14:textId="77777777" w:rsidR="00F30EC0" w:rsidRPr="002555DE" w:rsidRDefault="00F30EC0" w:rsidP="002555DE">
            <w:pPr>
              <w:pStyle w:val="Compact"/>
              <w:rPr>
                <w:sz w:val="24"/>
                <w:szCs w:val="24"/>
              </w:rPr>
            </w:pPr>
            <w:r w:rsidRPr="002555DE">
              <w:rPr>
                <w:sz w:val="24"/>
                <w:szCs w:val="24"/>
              </w:rPr>
              <w:t>0.42%</w:t>
            </w:r>
          </w:p>
        </w:tc>
        <w:tc>
          <w:tcPr>
            <w:tcW w:w="2382" w:type="pct"/>
            <w:tcBorders>
              <w:top w:val="single" w:sz="4" w:space="0" w:color="auto"/>
              <w:bottom w:val="nil"/>
            </w:tcBorders>
            <w:hideMark/>
          </w:tcPr>
          <w:p w14:paraId="3DA9C9EA" w14:textId="77777777" w:rsidR="00F30EC0" w:rsidRPr="002555DE" w:rsidRDefault="00F30EC0" w:rsidP="002555DE">
            <w:pPr>
              <w:pStyle w:val="Compact"/>
              <w:rPr>
                <w:sz w:val="24"/>
                <w:szCs w:val="24"/>
              </w:rPr>
            </w:pPr>
            <w:r w:rsidRPr="002555DE">
              <w:rPr>
                <w:sz w:val="24"/>
                <w:szCs w:val="24"/>
              </w:rPr>
              <w:t>0.02%</w:t>
            </w:r>
          </w:p>
        </w:tc>
      </w:tr>
      <w:tr w:rsidR="00F30EC0" w:rsidRPr="002555DE" w14:paraId="2B0DE800" w14:textId="77777777" w:rsidTr="00C73DC3">
        <w:tc>
          <w:tcPr>
            <w:tcW w:w="1091" w:type="pct"/>
            <w:tcBorders>
              <w:top w:val="nil"/>
              <w:bottom w:val="nil"/>
            </w:tcBorders>
            <w:hideMark/>
          </w:tcPr>
          <w:p w14:paraId="53B1A1BE" w14:textId="77777777" w:rsidR="00F30EC0" w:rsidRPr="002555DE" w:rsidRDefault="00F30EC0" w:rsidP="002555DE">
            <w:pPr>
              <w:pStyle w:val="Compact"/>
              <w:rPr>
                <w:sz w:val="24"/>
                <w:szCs w:val="24"/>
              </w:rPr>
            </w:pPr>
            <w:r w:rsidRPr="002555DE">
              <w:rPr>
                <w:sz w:val="24"/>
                <w:szCs w:val="24"/>
              </w:rPr>
              <w:t>100</w:t>
            </w:r>
          </w:p>
        </w:tc>
        <w:tc>
          <w:tcPr>
            <w:tcW w:w="1527" w:type="pct"/>
            <w:tcBorders>
              <w:top w:val="nil"/>
              <w:bottom w:val="nil"/>
            </w:tcBorders>
            <w:hideMark/>
          </w:tcPr>
          <w:p w14:paraId="6096E4B1" w14:textId="77777777" w:rsidR="00F30EC0" w:rsidRPr="002555DE" w:rsidRDefault="00F30EC0" w:rsidP="002555DE">
            <w:pPr>
              <w:pStyle w:val="Compact"/>
              <w:rPr>
                <w:sz w:val="24"/>
                <w:szCs w:val="24"/>
              </w:rPr>
            </w:pPr>
            <w:r w:rsidRPr="002555DE">
              <w:rPr>
                <w:sz w:val="24"/>
                <w:szCs w:val="24"/>
              </w:rPr>
              <w:t>0.48%</w:t>
            </w:r>
          </w:p>
        </w:tc>
        <w:tc>
          <w:tcPr>
            <w:tcW w:w="2382" w:type="pct"/>
            <w:tcBorders>
              <w:top w:val="nil"/>
              <w:bottom w:val="nil"/>
            </w:tcBorders>
            <w:hideMark/>
          </w:tcPr>
          <w:p w14:paraId="17D03F02" w14:textId="77777777" w:rsidR="00F30EC0" w:rsidRPr="002555DE" w:rsidRDefault="00F30EC0" w:rsidP="002555DE">
            <w:pPr>
              <w:pStyle w:val="Compact"/>
              <w:rPr>
                <w:sz w:val="24"/>
                <w:szCs w:val="24"/>
              </w:rPr>
            </w:pPr>
            <w:r w:rsidRPr="002555DE">
              <w:rPr>
                <w:sz w:val="24"/>
                <w:szCs w:val="24"/>
              </w:rPr>
              <w:t>0.03%</w:t>
            </w:r>
          </w:p>
        </w:tc>
      </w:tr>
      <w:tr w:rsidR="00F30EC0" w:rsidRPr="002555DE" w14:paraId="65CA8FC4" w14:textId="77777777" w:rsidTr="00C73DC3">
        <w:tc>
          <w:tcPr>
            <w:tcW w:w="1091" w:type="pct"/>
            <w:tcBorders>
              <w:top w:val="nil"/>
              <w:bottom w:val="nil"/>
            </w:tcBorders>
            <w:hideMark/>
          </w:tcPr>
          <w:p w14:paraId="4F8A0B49" w14:textId="77777777" w:rsidR="00F30EC0" w:rsidRPr="002555DE" w:rsidRDefault="00F30EC0" w:rsidP="002555DE">
            <w:pPr>
              <w:pStyle w:val="Compact"/>
              <w:rPr>
                <w:sz w:val="24"/>
                <w:szCs w:val="24"/>
              </w:rPr>
            </w:pPr>
            <w:r w:rsidRPr="002555DE">
              <w:rPr>
                <w:sz w:val="24"/>
                <w:szCs w:val="24"/>
              </w:rPr>
              <w:t>200</w:t>
            </w:r>
          </w:p>
        </w:tc>
        <w:tc>
          <w:tcPr>
            <w:tcW w:w="1527" w:type="pct"/>
            <w:tcBorders>
              <w:top w:val="nil"/>
              <w:bottom w:val="nil"/>
            </w:tcBorders>
            <w:hideMark/>
          </w:tcPr>
          <w:p w14:paraId="7DDFCDB3" w14:textId="77777777" w:rsidR="00F30EC0" w:rsidRPr="002555DE" w:rsidRDefault="00F30EC0" w:rsidP="002555DE">
            <w:pPr>
              <w:pStyle w:val="Compact"/>
              <w:rPr>
                <w:sz w:val="24"/>
                <w:szCs w:val="24"/>
              </w:rPr>
            </w:pPr>
            <w:r w:rsidRPr="002555DE">
              <w:rPr>
                <w:sz w:val="24"/>
                <w:szCs w:val="24"/>
              </w:rPr>
              <w:t>0.55%</w:t>
            </w:r>
          </w:p>
        </w:tc>
        <w:tc>
          <w:tcPr>
            <w:tcW w:w="2382" w:type="pct"/>
            <w:tcBorders>
              <w:top w:val="nil"/>
              <w:bottom w:val="nil"/>
            </w:tcBorders>
            <w:hideMark/>
          </w:tcPr>
          <w:p w14:paraId="0DE35899" w14:textId="77777777" w:rsidR="00F30EC0" w:rsidRPr="002555DE" w:rsidRDefault="00F30EC0" w:rsidP="002555DE">
            <w:pPr>
              <w:pStyle w:val="Compact"/>
              <w:rPr>
                <w:sz w:val="24"/>
                <w:szCs w:val="24"/>
              </w:rPr>
            </w:pPr>
            <w:r w:rsidRPr="002555DE">
              <w:rPr>
                <w:sz w:val="24"/>
                <w:szCs w:val="24"/>
              </w:rPr>
              <w:t>0.06%</w:t>
            </w:r>
          </w:p>
        </w:tc>
      </w:tr>
      <w:tr w:rsidR="00F30EC0" w:rsidRPr="002555DE" w14:paraId="19C7FB31" w14:textId="77777777" w:rsidTr="00C73DC3">
        <w:tc>
          <w:tcPr>
            <w:tcW w:w="1091" w:type="pct"/>
            <w:tcBorders>
              <w:top w:val="nil"/>
              <w:bottom w:val="nil"/>
            </w:tcBorders>
            <w:hideMark/>
          </w:tcPr>
          <w:p w14:paraId="26FA3629" w14:textId="77777777" w:rsidR="00F30EC0" w:rsidRPr="002555DE" w:rsidRDefault="00F30EC0" w:rsidP="002555DE">
            <w:pPr>
              <w:pStyle w:val="Compact"/>
              <w:rPr>
                <w:sz w:val="24"/>
                <w:szCs w:val="24"/>
              </w:rPr>
            </w:pPr>
            <w:r w:rsidRPr="002555DE">
              <w:rPr>
                <w:sz w:val="24"/>
                <w:szCs w:val="24"/>
              </w:rPr>
              <w:t>250</w:t>
            </w:r>
          </w:p>
        </w:tc>
        <w:tc>
          <w:tcPr>
            <w:tcW w:w="1527" w:type="pct"/>
            <w:tcBorders>
              <w:top w:val="nil"/>
              <w:bottom w:val="nil"/>
            </w:tcBorders>
            <w:hideMark/>
          </w:tcPr>
          <w:p w14:paraId="67FC8235" w14:textId="77777777" w:rsidR="00F30EC0" w:rsidRPr="002555DE" w:rsidRDefault="00F30EC0" w:rsidP="002555DE">
            <w:pPr>
              <w:pStyle w:val="Compact"/>
              <w:rPr>
                <w:sz w:val="24"/>
                <w:szCs w:val="24"/>
              </w:rPr>
            </w:pPr>
            <w:r w:rsidRPr="002555DE">
              <w:rPr>
                <w:sz w:val="24"/>
                <w:szCs w:val="24"/>
              </w:rPr>
              <w:t>0.64%</w:t>
            </w:r>
          </w:p>
        </w:tc>
        <w:tc>
          <w:tcPr>
            <w:tcW w:w="2382" w:type="pct"/>
            <w:tcBorders>
              <w:top w:val="nil"/>
              <w:bottom w:val="nil"/>
            </w:tcBorders>
            <w:hideMark/>
          </w:tcPr>
          <w:p w14:paraId="5D1C17C0" w14:textId="77777777" w:rsidR="00F30EC0" w:rsidRPr="002555DE" w:rsidRDefault="00F30EC0" w:rsidP="002555DE">
            <w:pPr>
              <w:pStyle w:val="Compact"/>
              <w:rPr>
                <w:sz w:val="24"/>
                <w:szCs w:val="24"/>
              </w:rPr>
            </w:pPr>
            <w:r w:rsidRPr="002555DE">
              <w:rPr>
                <w:sz w:val="24"/>
                <w:szCs w:val="24"/>
              </w:rPr>
              <w:t>0.07%</w:t>
            </w:r>
          </w:p>
        </w:tc>
      </w:tr>
      <w:tr w:rsidR="00F30EC0" w:rsidRPr="002555DE" w14:paraId="1DD15FEE" w14:textId="77777777" w:rsidTr="00C73DC3">
        <w:tc>
          <w:tcPr>
            <w:tcW w:w="1091" w:type="pct"/>
            <w:tcBorders>
              <w:top w:val="nil"/>
              <w:bottom w:val="nil"/>
            </w:tcBorders>
            <w:hideMark/>
          </w:tcPr>
          <w:p w14:paraId="27FC437F" w14:textId="77777777" w:rsidR="00F30EC0" w:rsidRPr="002555DE" w:rsidRDefault="00F30EC0" w:rsidP="002555DE">
            <w:pPr>
              <w:pStyle w:val="Compact"/>
              <w:rPr>
                <w:sz w:val="24"/>
                <w:szCs w:val="24"/>
              </w:rPr>
            </w:pPr>
            <w:r w:rsidRPr="002555DE">
              <w:rPr>
                <w:sz w:val="24"/>
                <w:szCs w:val="24"/>
              </w:rPr>
              <w:t>300</w:t>
            </w:r>
          </w:p>
        </w:tc>
        <w:tc>
          <w:tcPr>
            <w:tcW w:w="1527" w:type="pct"/>
            <w:tcBorders>
              <w:top w:val="nil"/>
              <w:bottom w:val="nil"/>
            </w:tcBorders>
            <w:hideMark/>
          </w:tcPr>
          <w:p w14:paraId="13B61790" w14:textId="77777777" w:rsidR="00F30EC0" w:rsidRPr="002555DE" w:rsidRDefault="00F30EC0" w:rsidP="002555DE">
            <w:pPr>
              <w:pStyle w:val="Compact"/>
              <w:rPr>
                <w:sz w:val="24"/>
                <w:szCs w:val="24"/>
              </w:rPr>
            </w:pPr>
            <w:r w:rsidRPr="002555DE">
              <w:rPr>
                <w:sz w:val="24"/>
                <w:szCs w:val="24"/>
              </w:rPr>
              <w:t>0.83%</w:t>
            </w:r>
          </w:p>
        </w:tc>
        <w:tc>
          <w:tcPr>
            <w:tcW w:w="2382" w:type="pct"/>
            <w:tcBorders>
              <w:top w:val="nil"/>
              <w:bottom w:val="nil"/>
            </w:tcBorders>
            <w:hideMark/>
          </w:tcPr>
          <w:p w14:paraId="4BB29A2C" w14:textId="77777777" w:rsidR="00F30EC0" w:rsidRPr="002555DE" w:rsidRDefault="00F30EC0" w:rsidP="002555DE">
            <w:pPr>
              <w:pStyle w:val="Compact"/>
              <w:rPr>
                <w:sz w:val="24"/>
                <w:szCs w:val="24"/>
              </w:rPr>
            </w:pPr>
            <w:r w:rsidRPr="002555DE">
              <w:rPr>
                <w:sz w:val="24"/>
                <w:szCs w:val="24"/>
              </w:rPr>
              <w:t>0.10%</w:t>
            </w:r>
          </w:p>
        </w:tc>
      </w:tr>
      <w:tr w:rsidR="00F30EC0" w:rsidRPr="002555DE" w14:paraId="0AA4F3C6" w14:textId="77777777" w:rsidTr="00C73DC3">
        <w:tc>
          <w:tcPr>
            <w:tcW w:w="1091" w:type="pct"/>
            <w:tcBorders>
              <w:top w:val="nil"/>
              <w:bottom w:val="nil"/>
            </w:tcBorders>
            <w:hideMark/>
          </w:tcPr>
          <w:p w14:paraId="0459EE0E" w14:textId="77777777" w:rsidR="00F30EC0" w:rsidRPr="002555DE" w:rsidRDefault="00F30EC0" w:rsidP="002555DE">
            <w:pPr>
              <w:pStyle w:val="Compact"/>
              <w:rPr>
                <w:sz w:val="24"/>
                <w:szCs w:val="24"/>
              </w:rPr>
            </w:pPr>
            <w:r w:rsidRPr="002555DE">
              <w:rPr>
                <w:sz w:val="24"/>
                <w:szCs w:val="24"/>
              </w:rPr>
              <w:t>350</w:t>
            </w:r>
          </w:p>
        </w:tc>
        <w:tc>
          <w:tcPr>
            <w:tcW w:w="1527" w:type="pct"/>
            <w:tcBorders>
              <w:top w:val="nil"/>
              <w:bottom w:val="nil"/>
            </w:tcBorders>
            <w:hideMark/>
          </w:tcPr>
          <w:p w14:paraId="090E323B" w14:textId="77777777" w:rsidR="00F30EC0" w:rsidRPr="002555DE" w:rsidRDefault="00F30EC0" w:rsidP="002555DE">
            <w:pPr>
              <w:pStyle w:val="Compact"/>
              <w:rPr>
                <w:sz w:val="24"/>
                <w:szCs w:val="24"/>
              </w:rPr>
            </w:pPr>
            <w:r w:rsidRPr="002555DE">
              <w:rPr>
                <w:sz w:val="24"/>
                <w:szCs w:val="24"/>
              </w:rPr>
              <w:t>1.11%</w:t>
            </w:r>
          </w:p>
        </w:tc>
        <w:tc>
          <w:tcPr>
            <w:tcW w:w="2382" w:type="pct"/>
            <w:tcBorders>
              <w:top w:val="nil"/>
              <w:bottom w:val="nil"/>
            </w:tcBorders>
            <w:hideMark/>
          </w:tcPr>
          <w:p w14:paraId="00A9BC2E" w14:textId="77777777" w:rsidR="00F30EC0" w:rsidRPr="002555DE" w:rsidRDefault="00F30EC0" w:rsidP="002555DE">
            <w:pPr>
              <w:pStyle w:val="Compact"/>
              <w:rPr>
                <w:sz w:val="24"/>
                <w:szCs w:val="24"/>
              </w:rPr>
            </w:pPr>
            <w:r w:rsidRPr="002555DE">
              <w:rPr>
                <w:sz w:val="24"/>
                <w:szCs w:val="24"/>
              </w:rPr>
              <w:t>0.20%</w:t>
            </w:r>
          </w:p>
        </w:tc>
      </w:tr>
      <w:tr w:rsidR="00F30EC0" w:rsidRPr="002555DE" w14:paraId="48ADB4A9" w14:textId="77777777" w:rsidTr="00C73DC3">
        <w:tc>
          <w:tcPr>
            <w:tcW w:w="1091" w:type="pct"/>
            <w:tcBorders>
              <w:top w:val="nil"/>
              <w:bottom w:val="single" w:sz="4" w:space="0" w:color="auto"/>
            </w:tcBorders>
            <w:hideMark/>
          </w:tcPr>
          <w:p w14:paraId="7528BC35" w14:textId="77777777" w:rsidR="00F30EC0" w:rsidRPr="002555DE" w:rsidRDefault="00F30EC0" w:rsidP="002555DE">
            <w:pPr>
              <w:pStyle w:val="Compact"/>
              <w:rPr>
                <w:sz w:val="24"/>
                <w:szCs w:val="24"/>
              </w:rPr>
            </w:pPr>
            <w:r w:rsidRPr="002555DE">
              <w:rPr>
                <w:sz w:val="24"/>
                <w:szCs w:val="24"/>
              </w:rPr>
              <w:t>450</w:t>
            </w:r>
          </w:p>
        </w:tc>
        <w:tc>
          <w:tcPr>
            <w:tcW w:w="1527" w:type="pct"/>
            <w:tcBorders>
              <w:top w:val="nil"/>
              <w:bottom w:val="single" w:sz="4" w:space="0" w:color="auto"/>
            </w:tcBorders>
            <w:hideMark/>
          </w:tcPr>
          <w:p w14:paraId="36C93B52" w14:textId="77777777" w:rsidR="00F30EC0" w:rsidRPr="002555DE" w:rsidRDefault="00F30EC0" w:rsidP="002555DE">
            <w:pPr>
              <w:pStyle w:val="Compact"/>
              <w:rPr>
                <w:sz w:val="24"/>
                <w:szCs w:val="24"/>
              </w:rPr>
            </w:pPr>
            <w:r w:rsidRPr="002555DE">
              <w:rPr>
                <w:sz w:val="24"/>
                <w:szCs w:val="24"/>
              </w:rPr>
              <w:t>1.80%</w:t>
            </w:r>
          </w:p>
        </w:tc>
        <w:tc>
          <w:tcPr>
            <w:tcW w:w="2382" w:type="pct"/>
            <w:tcBorders>
              <w:top w:val="nil"/>
              <w:bottom w:val="single" w:sz="4" w:space="0" w:color="auto"/>
            </w:tcBorders>
            <w:hideMark/>
          </w:tcPr>
          <w:p w14:paraId="60F596F9" w14:textId="77777777" w:rsidR="00F30EC0" w:rsidRPr="002555DE" w:rsidRDefault="00F30EC0" w:rsidP="002555DE">
            <w:pPr>
              <w:pStyle w:val="Compact"/>
              <w:rPr>
                <w:sz w:val="24"/>
                <w:szCs w:val="24"/>
              </w:rPr>
            </w:pPr>
            <w:r w:rsidRPr="002555DE">
              <w:rPr>
                <w:sz w:val="24"/>
                <w:szCs w:val="24"/>
              </w:rPr>
              <w:t>0.54%</w:t>
            </w:r>
          </w:p>
        </w:tc>
      </w:tr>
    </w:tbl>
    <w:p w14:paraId="7B9F2E53" w14:textId="77777777" w:rsidR="00F30EC0" w:rsidRDefault="00F30EC0"/>
    <w:p w14:paraId="0BC838B9" w14:textId="77777777" w:rsidR="00762163" w:rsidRDefault="00762163"/>
    <w:p w14:paraId="0E3157A8" w14:textId="37FF90AD" w:rsidR="00280B90" w:rsidRPr="00762163" w:rsidRDefault="004F390E"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fldChar w:fldCharType="begin"/>
      </w:r>
      <w:r w:rsidRPr="00762163">
        <w:rPr>
          <w:rFonts w:asciiTheme="minorHAnsi" w:hAnsiTheme="minorHAnsi" w:cstheme="minorHAnsi"/>
          <w:sz w:val="24"/>
          <w:szCs w:val="24"/>
        </w:rPr>
        <w:instrText xml:space="preserve"> REF _Ref164416067 \h  \* MERGEFORMAT </w:instrText>
      </w:r>
      <w:r w:rsidRPr="00762163">
        <w:rPr>
          <w:rFonts w:asciiTheme="minorHAnsi" w:hAnsiTheme="minorHAnsi" w:cstheme="minorHAnsi"/>
          <w:sz w:val="24"/>
          <w:szCs w:val="24"/>
        </w:rPr>
      </w:r>
      <w:r w:rsidRPr="00762163">
        <w:rPr>
          <w:rFonts w:asciiTheme="minorHAnsi" w:hAnsiTheme="minorHAnsi" w:cstheme="minorHAnsi"/>
          <w:sz w:val="24"/>
          <w:szCs w:val="24"/>
        </w:rPr>
        <w:fldChar w:fldCharType="separate"/>
      </w:r>
      <w:r w:rsidR="00115CF7" w:rsidRPr="00762163">
        <w:rPr>
          <w:rFonts w:asciiTheme="minorHAnsi" w:hAnsiTheme="minorHAnsi" w:cstheme="minorHAnsi"/>
          <w:sz w:val="24"/>
          <w:szCs w:val="24"/>
        </w:rPr>
        <w:t xml:space="preserve">Table </w:t>
      </w:r>
      <w:r w:rsidR="00115CF7" w:rsidRPr="00762163">
        <w:rPr>
          <w:rFonts w:asciiTheme="minorHAnsi" w:hAnsiTheme="minorHAnsi" w:cstheme="minorHAnsi"/>
          <w:noProof/>
          <w:sz w:val="24"/>
          <w:szCs w:val="24"/>
        </w:rPr>
        <w:t>36</w:t>
      </w:r>
      <w:r w:rsidRPr="00762163">
        <w:rPr>
          <w:rFonts w:asciiTheme="minorHAnsi" w:hAnsiTheme="minorHAnsi" w:cstheme="minorHAnsi"/>
          <w:sz w:val="24"/>
          <w:szCs w:val="24"/>
        </w:rPr>
        <w:fldChar w:fldCharType="end"/>
      </w:r>
      <w:r w:rsidR="00280B90" w:rsidRPr="00762163">
        <w:rPr>
          <w:rFonts w:asciiTheme="minorHAnsi" w:hAnsiTheme="minorHAnsi" w:cstheme="minorHAnsi"/>
          <w:sz w:val="24"/>
          <w:szCs w:val="24"/>
        </w:rPr>
        <w:t xml:space="preserve"> shows the potential percentage of people that would exceed the Guidance Level of folic acid consumption.</w:t>
      </w:r>
      <w:r w:rsidR="00A518AB" w:rsidRPr="00762163">
        <w:rPr>
          <w:rFonts w:asciiTheme="minorHAnsi" w:hAnsiTheme="minorHAnsi" w:cstheme="minorHAnsi"/>
          <w:sz w:val="24"/>
          <w:szCs w:val="24"/>
        </w:rPr>
        <w:t xml:space="preserve"> </w:t>
      </w:r>
      <w:r w:rsidR="00280B90" w:rsidRPr="00762163">
        <w:rPr>
          <w:rFonts w:asciiTheme="minorHAnsi" w:hAnsiTheme="minorHAnsi" w:cstheme="minorHAnsi"/>
          <w:sz w:val="24"/>
          <w:szCs w:val="24"/>
        </w:rPr>
        <w:t>Around 0.4% of people already exceed the Guidance Level, although that may include some women who are following medical advice to take higher doses of folic acid supplements due to being at an increased risk of an NTD-affected pregnancy, or if prescribed a higher dose for other reasons.</w:t>
      </w:r>
    </w:p>
    <w:p w14:paraId="63E6420C" w14:textId="77777777" w:rsidR="007E1F49" w:rsidRDefault="007E1F49" w:rsidP="007E1F49">
      <w:pPr>
        <w:pStyle w:val="EBBodyPara"/>
        <w:spacing w:after="0" w:line="259" w:lineRule="auto"/>
        <w:rPr>
          <w:rFonts w:asciiTheme="minorHAnsi" w:hAnsiTheme="minorHAnsi" w:cstheme="minorHAnsi"/>
          <w:sz w:val="24"/>
          <w:szCs w:val="24"/>
        </w:rPr>
      </w:pPr>
    </w:p>
    <w:p w14:paraId="1BC2B4B2" w14:textId="27E6FF8B" w:rsidR="00762163" w:rsidRPr="00762163"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Mandatory fortification at the proposed level of 250</w:t>
      </w:r>
      <w:r w:rsidR="00100744" w:rsidRPr="00762163">
        <w:rPr>
          <w:rFonts w:asciiTheme="minorHAnsi" w:hAnsiTheme="minorHAnsi" w:cstheme="minorHAnsi"/>
          <w:sz w:val="24"/>
          <w:szCs w:val="24"/>
        </w:rPr>
        <w:t xml:space="preserve"> </w:t>
      </w:r>
      <w:r w:rsidRPr="00762163">
        <w:rPr>
          <w:rFonts w:asciiTheme="minorHAnsi" w:hAnsiTheme="minorHAnsi" w:cstheme="minorHAnsi"/>
          <w:sz w:val="24"/>
          <w:szCs w:val="24"/>
        </w:rPr>
        <w:t>micrograms</w:t>
      </w:r>
      <w:r w:rsidR="00100744" w:rsidRPr="00762163">
        <w:rPr>
          <w:rFonts w:asciiTheme="minorHAnsi" w:hAnsiTheme="minorHAnsi" w:cstheme="minorHAnsi"/>
          <w:sz w:val="24"/>
          <w:szCs w:val="24"/>
        </w:rPr>
        <w:t xml:space="preserve"> per </w:t>
      </w:r>
      <w:r w:rsidRPr="00762163">
        <w:rPr>
          <w:rFonts w:asciiTheme="minorHAnsi" w:hAnsiTheme="minorHAnsi" w:cstheme="minorHAnsi"/>
          <w:sz w:val="24"/>
          <w:szCs w:val="24"/>
        </w:rPr>
        <w:t>100g for all non-wholemeal wheat flour, without restrictions is estimated to lead to 0.635% of people exceeding the Guidance Level of folic acid intake, constituting roughly 0.2% more of the population.</w:t>
      </w:r>
    </w:p>
    <w:p w14:paraId="4B15D050" w14:textId="77777777" w:rsidR="007E1F49" w:rsidRDefault="007E1F49" w:rsidP="007E1F49">
      <w:pPr>
        <w:pStyle w:val="EBBodyPara"/>
        <w:spacing w:after="0" w:line="259" w:lineRule="auto"/>
        <w:rPr>
          <w:rFonts w:asciiTheme="minorHAnsi" w:hAnsiTheme="minorHAnsi" w:cstheme="minorHAnsi"/>
          <w:sz w:val="24"/>
          <w:szCs w:val="24"/>
        </w:rPr>
      </w:pPr>
    </w:p>
    <w:p w14:paraId="598316F1" w14:textId="7467BEF6" w:rsidR="007E1F49"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 xml:space="preserve">The </w:t>
      </w:r>
      <w:hyperlink r:id="rId46" w:history="1">
        <w:r w:rsidRPr="00762163">
          <w:rPr>
            <w:rStyle w:val="Hyperlink"/>
            <w:rFonts w:cstheme="minorHAnsi"/>
            <w:color w:val="0070C0"/>
            <w:szCs w:val="24"/>
          </w:rPr>
          <w:t>Scientific Advisory Committee on Nutrition (SACN) has considered in dept</w:t>
        </w:r>
        <w:r w:rsidR="00503090" w:rsidRPr="00762163">
          <w:rPr>
            <w:rStyle w:val="Hyperlink"/>
            <w:rFonts w:cstheme="minorHAnsi"/>
            <w:color w:val="0070C0"/>
            <w:szCs w:val="24"/>
          </w:rPr>
          <w:t>h</w:t>
        </w:r>
        <w:r w:rsidRPr="00762163">
          <w:rPr>
            <w:rStyle w:val="Hyperlink"/>
            <w:rFonts w:cstheme="minorHAnsi"/>
            <w:color w:val="0070C0"/>
            <w:szCs w:val="24"/>
          </w:rPr>
          <w:t xml:space="preserve"> the potential risks associated with sustained high doses of folic acid</w:t>
        </w:r>
      </w:hyperlink>
      <w:r w:rsidRPr="00762163">
        <w:rPr>
          <w:rFonts w:asciiTheme="minorHAnsi" w:hAnsiTheme="minorHAnsi" w:cstheme="minorHAnsi"/>
          <w:sz w:val="24"/>
          <w:szCs w:val="24"/>
        </w:rPr>
        <w:t>. The risks considered were masking/exacerbation of low vitamin B12 status; cognitive decline in older individuals, cancer (prostate, breast, colorectal and overall risk); and the long-term effects of unmetabolized folic acid in the body. The Committee found that there was limited evidence to suggest that overconsumption would lead to serious health risks. More details on each risk area are given below.</w:t>
      </w:r>
    </w:p>
    <w:p w14:paraId="3D998262" w14:textId="77777777" w:rsidR="007E1F49" w:rsidRDefault="007E1F49" w:rsidP="007E1F49">
      <w:pPr>
        <w:pStyle w:val="EBBodyPara"/>
        <w:spacing w:after="0" w:line="259" w:lineRule="auto"/>
        <w:rPr>
          <w:rFonts w:asciiTheme="minorHAnsi" w:hAnsiTheme="minorHAnsi" w:cstheme="minorHAnsi"/>
          <w:sz w:val="24"/>
          <w:szCs w:val="24"/>
        </w:rPr>
      </w:pPr>
    </w:p>
    <w:p w14:paraId="4FA5A9D2" w14:textId="15140F3E" w:rsidR="00280B90" w:rsidRPr="00762163"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SACN noted that the prevalence of B12 deficiency, with or without anaemia, did not increase after mandatory fortification was introduced in the US. Only a small proportion of those exceeding the Guidance Level will be at risk from B12 deficiency.</w:t>
      </w:r>
    </w:p>
    <w:p w14:paraId="3A8B3C82" w14:textId="77777777" w:rsidR="007E1F49" w:rsidRDefault="007E1F49" w:rsidP="007E1F49">
      <w:pPr>
        <w:pStyle w:val="EBBodyPara"/>
        <w:spacing w:after="0" w:line="259" w:lineRule="auto"/>
        <w:rPr>
          <w:rFonts w:asciiTheme="minorHAnsi" w:hAnsiTheme="minorHAnsi" w:cstheme="minorHAnsi"/>
          <w:sz w:val="24"/>
          <w:szCs w:val="24"/>
        </w:rPr>
      </w:pPr>
    </w:p>
    <w:p w14:paraId="2170C07F" w14:textId="0A9D1FA5" w:rsidR="00280B90" w:rsidRPr="00762163"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Evidence of a link between excess folic acid intake and cancer is inconsistent. SACN conclude that despite the inconsistencies and limitations in the data, the overall picture does not suggest a detrimental effect of folic acid on cancer risk.</w:t>
      </w:r>
    </w:p>
    <w:p w14:paraId="1B6D3515" w14:textId="77777777" w:rsidR="007E1F49" w:rsidRDefault="007E1F49" w:rsidP="007E1F49">
      <w:pPr>
        <w:pStyle w:val="EBBodyPara"/>
        <w:spacing w:after="0" w:line="259" w:lineRule="auto"/>
        <w:rPr>
          <w:rFonts w:asciiTheme="minorHAnsi" w:hAnsiTheme="minorHAnsi" w:cstheme="minorHAnsi"/>
          <w:sz w:val="24"/>
          <w:szCs w:val="24"/>
        </w:rPr>
      </w:pPr>
    </w:p>
    <w:p w14:paraId="7D958E7E" w14:textId="7E12344C" w:rsidR="00280B90" w:rsidRPr="00762163"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A further potential concern is the appearance of unmetabolized folic acid in the systemic circulation. However, SACN concluded that there was no clear relationship between folic acid consumption and levels of unmetabolized folic acid in the systemic circulation, and the data are insufficient to assess whether unmetabolized folic acid in the systemic circulation is related to any adverse health outcomes.</w:t>
      </w:r>
    </w:p>
    <w:p w14:paraId="7678FCE4" w14:textId="77777777" w:rsidR="007F7B64" w:rsidRPr="00762163" w:rsidRDefault="007F7B64" w:rsidP="007E1F49">
      <w:pPr>
        <w:pStyle w:val="Heading4"/>
        <w:keepNext w:val="0"/>
        <w:keepLines w:val="0"/>
        <w:numPr>
          <w:ilvl w:val="0"/>
          <w:numId w:val="0"/>
        </w:numPr>
        <w:spacing w:before="0" w:after="0" w:line="259" w:lineRule="auto"/>
        <w:rPr>
          <w:rFonts w:asciiTheme="minorHAnsi" w:hAnsiTheme="minorHAnsi" w:cstheme="minorHAnsi"/>
          <w:color w:val="auto"/>
        </w:rPr>
      </w:pPr>
    </w:p>
    <w:p w14:paraId="6D88671D" w14:textId="4E82CB17" w:rsidR="00280B90" w:rsidRPr="00762163" w:rsidRDefault="007E1F49" w:rsidP="007E1F49">
      <w:pPr>
        <w:pStyle w:val="Heading4"/>
        <w:keepNext w:val="0"/>
        <w:keepLines w:val="0"/>
        <w:numPr>
          <w:ilvl w:val="0"/>
          <w:numId w:val="0"/>
        </w:numPr>
        <w:spacing w:before="0" w:after="0" w:line="259" w:lineRule="auto"/>
        <w:rPr>
          <w:rFonts w:asciiTheme="minorHAnsi" w:hAnsiTheme="minorHAnsi" w:cstheme="minorHAnsi"/>
          <w:color w:val="auto"/>
        </w:rPr>
      </w:pPr>
      <w:r>
        <w:rPr>
          <w:rFonts w:asciiTheme="minorHAnsi" w:hAnsiTheme="minorHAnsi" w:cstheme="minorHAnsi"/>
          <w:color w:val="auto"/>
        </w:rPr>
        <w:t xml:space="preserve">17.1.6.3 </w:t>
      </w:r>
      <w:r w:rsidR="00280B90" w:rsidRPr="00762163">
        <w:rPr>
          <w:rFonts w:asciiTheme="minorHAnsi" w:hAnsiTheme="minorHAnsi" w:cstheme="minorHAnsi"/>
          <w:color w:val="auto"/>
        </w:rPr>
        <w:t>Cost pass</w:t>
      </w:r>
      <w:r w:rsidR="00CB430C" w:rsidRPr="00762163">
        <w:rPr>
          <w:rFonts w:asciiTheme="minorHAnsi" w:hAnsiTheme="minorHAnsi" w:cstheme="minorHAnsi"/>
          <w:color w:val="auto"/>
        </w:rPr>
        <w:t>-</w:t>
      </w:r>
      <w:r w:rsidR="00280B90" w:rsidRPr="00762163">
        <w:rPr>
          <w:rFonts w:asciiTheme="minorHAnsi" w:hAnsiTheme="minorHAnsi" w:cstheme="minorHAnsi"/>
          <w:color w:val="auto"/>
        </w:rPr>
        <w:t>through</w:t>
      </w:r>
    </w:p>
    <w:p w14:paraId="0015F665" w14:textId="77777777" w:rsidR="007E1F49" w:rsidRDefault="00280B90" w:rsidP="007E1F49">
      <w:pPr>
        <w:pStyle w:val="EBBodyPara"/>
        <w:spacing w:after="0" w:line="259" w:lineRule="auto"/>
        <w:rPr>
          <w:rFonts w:asciiTheme="minorHAnsi" w:hAnsiTheme="minorHAnsi" w:cstheme="minorHAnsi"/>
          <w:sz w:val="24"/>
          <w:szCs w:val="24"/>
        </w:rPr>
      </w:pPr>
      <w:r w:rsidRPr="00762163">
        <w:rPr>
          <w:rFonts w:asciiTheme="minorHAnsi" w:hAnsiTheme="minorHAnsi" w:cstheme="minorHAnsi"/>
          <w:sz w:val="24"/>
          <w:szCs w:val="24"/>
        </w:rPr>
        <w:t>There is a chance that producers may pass-on the costs from the policy to consumers. However, these costs are mainly transitory in nature, and are spread across a very large number of products (Ka</w:t>
      </w:r>
      <w:r w:rsidR="002C1C16" w:rsidRPr="00762163">
        <w:rPr>
          <w:rFonts w:asciiTheme="minorHAnsi" w:hAnsiTheme="minorHAnsi" w:cstheme="minorHAnsi"/>
          <w:sz w:val="24"/>
          <w:szCs w:val="24"/>
        </w:rPr>
        <w:t>n</w:t>
      </w:r>
      <w:r w:rsidRPr="00762163">
        <w:rPr>
          <w:rFonts w:asciiTheme="minorHAnsi" w:hAnsiTheme="minorHAnsi" w:cstheme="minorHAnsi"/>
          <w:sz w:val="24"/>
          <w:szCs w:val="24"/>
        </w:rPr>
        <w:t xml:space="preserve">tar data obtained by DHSC suggests that around 11bn individual items containing NWWF are produced in England and sold in Great Britain each year). </w:t>
      </w:r>
    </w:p>
    <w:p w14:paraId="68940B0A" w14:textId="479A28A4" w:rsidR="00C02793" w:rsidRPr="00762163" w:rsidRDefault="00280B90" w:rsidP="2837DE85">
      <w:pPr>
        <w:pStyle w:val="EBBodyPara"/>
        <w:spacing w:after="0" w:line="259" w:lineRule="auto"/>
        <w:rPr>
          <w:rFonts w:asciiTheme="minorHAnsi" w:hAnsiTheme="minorHAnsi" w:cstheme="minorBidi"/>
          <w:sz w:val="24"/>
          <w:szCs w:val="24"/>
        </w:rPr>
      </w:pPr>
      <w:r w:rsidRPr="2837DE85">
        <w:rPr>
          <w:rFonts w:asciiTheme="minorHAnsi" w:hAnsiTheme="minorHAnsi" w:cstheme="minorBidi"/>
          <w:sz w:val="24"/>
          <w:szCs w:val="24"/>
        </w:rPr>
        <w:t>Dividing the one-off costs to business (relabelling, packaging waste and familiarisation) across the units sold only in one year would mean a temporary average per unit cost increase of under 1 pence for that year only</w:t>
      </w:r>
      <w:r w:rsidR="003D5D21" w:rsidRPr="2837DE85">
        <w:rPr>
          <w:rFonts w:asciiTheme="minorHAnsi" w:hAnsiTheme="minorHAnsi" w:cstheme="minorBidi"/>
          <w:sz w:val="24"/>
          <w:szCs w:val="24"/>
        </w:rPr>
        <w:t>.</w:t>
      </w:r>
    </w:p>
    <w:p w14:paraId="68AA9D77" w14:textId="77777777" w:rsidR="007E1F49" w:rsidRDefault="007E1F49" w:rsidP="007E1F49">
      <w:pPr>
        <w:pStyle w:val="Heading4"/>
        <w:keepNext w:val="0"/>
        <w:keepLines w:val="0"/>
        <w:numPr>
          <w:ilvl w:val="0"/>
          <w:numId w:val="0"/>
        </w:numPr>
        <w:spacing w:before="0" w:after="0" w:line="259" w:lineRule="auto"/>
        <w:rPr>
          <w:rFonts w:asciiTheme="minorHAnsi" w:hAnsiTheme="minorHAnsi" w:cstheme="minorHAnsi"/>
          <w:color w:val="auto"/>
        </w:rPr>
      </w:pPr>
    </w:p>
    <w:p w14:paraId="3C6E3A76" w14:textId="7374E790" w:rsidR="00C02793" w:rsidRDefault="007E1F49" w:rsidP="007E1F49">
      <w:pPr>
        <w:pStyle w:val="Heading4"/>
        <w:keepNext w:val="0"/>
        <w:keepLines w:val="0"/>
        <w:numPr>
          <w:ilvl w:val="0"/>
          <w:numId w:val="0"/>
        </w:numPr>
        <w:spacing w:before="0" w:after="0" w:line="259" w:lineRule="auto"/>
        <w:rPr>
          <w:rFonts w:asciiTheme="minorHAnsi" w:hAnsiTheme="minorHAnsi" w:cstheme="minorHAnsi"/>
          <w:color w:val="auto"/>
        </w:rPr>
      </w:pPr>
      <w:r>
        <w:rPr>
          <w:rFonts w:asciiTheme="minorHAnsi" w:hAnsiTheme="minorHAnsi" w:cstheme="minorHAnsi"/>
          <w:color w:val="auto"/>
        </w:rPr>
        <w:t xml:space="preserve">17.1.6.4 </w:t>
      </w:r>
      <w:r w:rsidR="00C02793" w:rsidRPr="00762163">
        <w:rPr>
          <w:rFonts w:asciiTheme="minorHAnsi" w:hAnsiTheme="minorHAnsi" w:cstheme="minorHAnsi"/>
          <w:color w:val="auto"/>
        </w:rPr>
        <w:t>Government</w:t>
      </w:r>
    </w:p>
    <w:p w14:paraId="39A4BA65" w14:textId="28DAF7D8" w:rsidR="00C02793" w:rsidRPr="007E1F49" w:rsidRDefault="00E418FC" w:rsidP="007E1F49">
      <w:r w:rsidRPr="4853D327">
        <w:t xml:space="preserve">There are existing routines in place to enforce the current laws regarding mandatory fortification of non-wholemeal wheat flour with niacin, iron, thiamin and calcium. We assume that adding folic acid to the fortificants will not create an additional burden on the </w:t>
      </w:r>
      <w:r w:rsidR="0004299A" w:rsidRPr="007E1F49">
        <w:rPr>
          <w:rFonts w:cstheme="minorHAnsi"/>
        </w:rPr>
        <w:t>Environmental</w:t>
      </w:r>
      <w:r w:rsidR="00AF74F9" w:rsidRPr="4853D327">
        <w:t xml:space="preserve"> Health </w:t>
      </w:r>
      <w:r w:rsidRPr="4853D327">
        <w:t xml:space="preserve">officers that enforce the current laws </w:t>
      </w:r>
      <w:r w:rsidR="00AF74F9" w:rsidRPr="4853D327">
        <w:t xml:space="preserve">in Scotland </w:t>
      </w:r>
      <w:r w:rsidRPr="4853D327">
        <w:t>beyond the initial familiarisation costs set out above. No additional products or premises would require inspection.</w:t>
      </w:r>
    </w:p>
    <w:p w14:paraId="75403A01" w14:textId="55B158A6" w:rsidR="00184694" w:rsidRDefault="4548A9AF" w:rsidP="00DA0433">
      <w:pPr>
        <w:pStyle w:val="Heading2"/>
      </w:pPr>
      <w:r>
        <w:t>Option 3 (as per Option 2 plus address BFR’s interactions with wider food regulations)</w:t>
      </w:r>
    </w:p>
    <w:p w14:paraId="70B972F7" w14:textId="6632DD6D" w:rsidR="003136BB" w:rsidRDefault="17FC711C" w:rsidP="005D011F">
      <w:pPr>
        <w:pStyle w:val="Heading3"/>
      </w:pPr>
      <w:r>
        <w:t>Familiarisation</w:t>
      </w:r>
      <w:r w:rsidR="0581D4F0">
        <w:t>, relabelling, and package waste costs</w:t>
      </w:r>
    </w:p>
    <w:p w14:paraId="2F8AFA89" w14:textId="2F91753E" w:rsidR="00D859F9" w:rsidRDefault="00E34D7E" w:rsidP="00E34D7E">
      <w:bookmarkStart w:id="140" w:name="_Ref164937590"/>
      <w:r>
        <w:t>We expect the familiarisation</w:t>
      </w:r>
      <w:r w:rsidR="004F78EC">
        <w:t>, relabelling, and package waste</w:t>
      </w:r>
      <w:r>
        <w:t xml:space="preserve"> costs as described in Option 2 to be </w:t>
      </w:r>
      <w:r w:rsidR="00E12985">
        <w:t>similar to those in Option 3</w:t>
      </w:r>
      <w:r w:rsidR="00D859F9">
        <w:t xml:space="preserve"> and do not anticipate any </w:t>
      </w:r>
      <w:r w:rsidR="005100B0">
        <w:t>additional</w:t>
      </w:r>
      <w:r w:rsidR="00D859F9">
        <w:t xml:space="preserve"> costs</w:t>
      </w:r>
      <w:r w:rsidR="005100B0">
        <w:t xml:space="preserve"> (for </w:t>
      </w:r>
      <w:r w:rsidR="00AA176A">
        <w:t xml:space="preserve">either </w:t>
      </w:r>
      <w:r w:rsidR="005100B0">
        <w:t xml:space="preserve">businesses </w:t>
      </w:r>
      <w:r w:rsidR="00AA176A">
        <w:t>or</w:t>
      </w:r>
      <w:r w:rsidR="005100B0">
        <w:t xml:space="preserve"> enforcement authorities)</w:t>
      </w:r>
      <w:r w:rsidR="00D859F9">
        <w:t>.</w:t>
      </w:r>
      <w:bookmarkEnd w:id="140"/>
    </w:p>
    <w:p w14:paraId="5CEDD547" w14:textId="4BDF91B8" w:rsidR="00D859F9" w:rsidRPr="00E34D7E" w:rsidRDefault="1C3EFD97" w:rsidP="005D011F">
      <w:pPr>
        <w:pStyle w:val="Heading3"/>
      </w:pPr>
      <w:bookmarkStart w:id="141" w:name="_Ref164937595"/>
      <w:r>
        <w:t>Fortification costs</w:t>
      </w:r>
      <w:bookmarkEnd w:id="141"/>
    </w:p>
    <w:p w14:paraId="60016831" w14:textId="77777777" w:rsidR="00984859" w:rsidRDefault="00497851" w:rsidP="00492345">
      <w:r w:rsidRPr="00497851">
        <w:t xml:space="preserve">There are a number of millers that are currently fortifying to the minimum levels required by the BFRs as opposed to the levels required by Regulation 1925/2006. We estimate that this number is small, given that 91% of the premix sales in the UK are compliant with the </w:t>
      </w:r>
    </w:p>
    <w:p w14:paraId="4AFED104" w14:textId="2CA56431" w:rsidR="00984859" w:rsidRDefault="00497851" w:rsidP="00492345">
      <w:pPr>
        <w:rPr>
          <w:rFonts w:ascii="Arial" w:hAnsi="Arial" w:cs="Arial"/>
        </w:rPr>
      </w:pPr>
      <w:r w:rsidRPr="00497851">
        <w:t>minimum levels required by Regulation 1925/</w:t>
      </w:r>
      <w:r w:rsidRPr="00984859">
        <w:rPr>
          <w:rFonts w:ascii="Arial" w:hAnsi="Arial" w:cs="Arial"/>
        </w:rPr>
        <w:t>2006.</w:t>
      </w:r>
      <w:r w:rsidR="00984859" w:rsidRPr="00984859">
        <w:rPr>
          <w:rStyle w:val="FootnoteReference"/>
          <w:rFonts w:ascii="Arial" w:hAnsi="Arial" w:cs="Arial"/>
          <w:sz w:val="24"/>
        </w:rPr>
        <w:footnoteReference w:id="25"/>
      </w:r>
    </w:p>
    <w:p w14:paraId="75F3FF9B" w14:textId="77777777" w:rsidR="00984859" w:rsidRDefault="00984859" w:rsidP="00492345">
      <w:pPr>
        <w:rPr>
          <w:rFonts w:ascii="Arial" w:hAnsi="Arial" w:cs="Arial"/>
        </w:rPr>
      </w:pPr>
    </w:p>
    <w:p w14:paraId="333368FF" w14:textId="1B9A4430" w:rsidR="00E34D7E" w:rsidRDefault="00497851" w:rsidP="00492345">
      <w:r w:rsidRPr="00984859">
        <w:rPr>
          <w:rFonts w:ascii="Arial" w:hAnsi="Arial" w:cs="Arial"/>
        </w:rPr>
        <w:t>Due</w:t>
      </w:r>
      <w:r w:rsidRPr="00497851">
        <w:t xml:space="preserve"> to the proposed increase in the minimum fortificant levels, these millers could face an increase in their production costs as greater quantities of fortificants would need to be used to fortify their flour. The indicative costings of using a premix which is compliant with the higher levels is compared to the premix compliant with the minimum levels of nutrients as stated in the </w:t>
      </w:r>
      <w:r w:rsidR="00984859">
        <w:t>BFRs</w:t>
      </w:r>
      <w:r w:rsidRPr="00497851">
        <w:t xml:space="preserve"> below.</w:t>
      </w:r>
    </w:p>
    <w:p w14:paraId="333BA7AB" w14:textId="77777777" w:rsidR="00984859" w:rsidRDefault="00984859" w:rsidP="00492345"/>
    <w:p w14:paraId="640220CA" w14:textId="3D573D84" w:rsidR="000867F4" w:rsidRPr="007F7B64" w:rsidRDefault="000867F4" w:rsidP="000867F4">
      <w:pPr>
        <w:pStyle w:val="Caption"/>
        <w:keepNext/>
        <w:rPr>
          <w:color w:val="auto"/>
        </w:rPr>
      </w:pPr>
      <w:bookmarkStart w:id="142" w:name="_Ref164954821"/>
      <w:r w:rsidRPr="007F7B64">
        <w:rPr>
          <w:color w:val="auto"/>
        </w:rPr>
        <w:t xml:space="preserve">Table </w:t>
      </w:r>
      <w:r w:rsidR="00000F90" w:rsidRPr="007F7B64">
        <w:rPr>
          <w:color w:val="auto"/>
        </w:rPr>
        <w:fldChar w:fldCharType="begin"/>
      </w:r>
      <w:r w:rsidR="00000F90" w:rsidRPr="007F7B64">
        <w:rPr>
          <w:color w:val="auto"/>
        </w:rPr>
        <w:instrText xml:space="preserve"> SEQ Table \* ARABIC </w:instrText>
      </w:r>
      <w:r w:rsidR="00000F90" w:rsidRPr="007F7B64">
        <w:rPr>
          <w:color w:val="auto"/>
        </w:rPr>
        <w:fldChar w:fldCharType="separate"/>
      </w:r>
      <w:r w:rsidR="000E33D5" w:rsidRPr="007F7B64">
        <w:rPr>
          <w:noProof/>
          <w:color w:val="auto"/>
        </w:rPr>
        <w:t>38</w:t>
      </w:r>
      <w:r w:rsidR="00000F90" w:rsidRPr="007F7B64">
        <w:rPr>
          <w:noProof/>
          <w:color w:val="auto"/>
        </w:rPr>
        <w:fldChar w:fldCharType="end"/>
      </w:r>
      <w:bookmarkEnd w:id="142"/>
      <w:r w:rsidRPr="007F7B64">
        <w:rPr>
          <w:color w:val="auto"/>
        </w:rPr>
        <w:t>. Indicative costs of added nutrients to flour</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1"/>
        <w:gridCol w:w="2655"/>
      </w:tblGrid>
      <w:tr w:rsidR="0018234C" w14:paraId="15B49A7F" w14:textId="77777777" w:rsidTr="006B662C">
        <w:tc>
          <w:tcPr>
            <w:tcW w:w="3638" w:type="pct"/>
            <w:tcBorders>
              <w:top w:val="single" w:sz="4" w:space="0" w:color="auto"/>
              <w:bottom w:val="single" w:sz="4" w:space="0" w:color="auto"/>
            </w:tcBorders>
          </w:tcPr>
          <w:p w14:paraId="5732E36D" w14:textId="33D5C3C8" w:rsidR="0018234C" w:rsidRPr="0018234C" w:rsidRDefault="00D7177B" w:rsidP="00492345">
            <w:pPr>
              <w:rPr>
                <w:b/>
                <w:bCs/>
              </w:rPr>
            </w:pPr>
            <w:r>
              <w:rPr>
                <w:b/>
                <w:bCs/>
              </w:rPr>
              <w:t>Premix</w:t>
            </w:r>
          </w:p>
        </w:tc>
        <w:tc>
          <w:tcPr>
            <w:tcW w:w="1362" w:type="pct"/>
            <w:tcBorders>
              <w:top w:val="single" w:sz="4" w:space="0" w:color="auto"/>
              <w:bottom w:val="single" w:sz="4" w:space="0" w:color="auto"/>
            </w:tcBorders>
          </w:tcPr>
          <w:p w14:paraId="0F56F2FD" w14:textId="595BA565" w:rsidR="0018234C" w:rsidRPr="0018234C" w:rsidRDefault="0018234C" w:rsidP="00492345">
            <w:pPr>
              <w:rPr>
                <w:b/>
                <w:bCs/>
              </w:rPr>
            </w:pPr>
            <w:r>
              <w:rPr>
                <w:b/>
                <w:bCs/>
              </w:rPr>
              <w:t xml:space="preserve">£ </w:t>
            </w:r>
            <w:r w:rsidRPr="0018234C">
              <w:rPr>
                <w:b/>
                <w:bCs/>
              </w:rPr>
              <w:t>per tonne of flour</w:t>
            </w:r>
          </w:p>
        </w:tc>
      </w:tr>
      <w:tr w:rsidR="0018234C" w14:paraId="50161C3D" w14:textId="77777777" w:rsidTr="006B662C">
        <w:tc>
          <w:tcPr>
            <w:tcW w:w="3638" w:type="pct"/>
            <w:tcBorders>
              <w:top w:val="single" w:sz="4" w:space="0" w:color="auto"/>
            </w:tcBorders>
          </w:tcPr>
          <w:p w14:paraId="7230D1AF" w14:textId="4EA08F08" w:rsidR="0018234C" w:rsidRPr="0018234C" w:rsidRDefault="0018234C" w:rsidP="00492345">
            <w:r>
              <w:t>P</w:t>
            </w:r>
            <w:r w:rsidRPr="0018234C">
              <w:t>remix compliant with the levels specified in the BFRs</w:t>
            </w:r>
          </w:p>
        </w:tc>
        <w:tc>
          <w:tcPr>
            <w:tcW w:w="1362" w:type="pct"/>
            <w:tcBorders>
              <w:top w:val="single" w:sz="4" w:space="0" w:color="auto"/>
            </w:tcBorders>
          </w:tcPr>
          <w:p w14:paraId="72876AB8" w14:textId="3F2CACAC" w:rsidR="0018234C" w:rsidRDefault="0018234C" w:rsidP="00492345">
            <w:r>
              <w:t>1.20</w:t>
            </w:r>
          </w:p>
        </w:tc>
      </w:tr>
      <w:tr w:rsidR="0018234C" w14:paraId="121D2F78" w14:textId="77777777" w:rsidTr="006B662C">
        <w:tc>
          <w:tcPr>
            <w:tcW w:w="3638" w:type="pct"/>
          </w:tcPr>
          <w:p w14:paraId="2690ABCD" w14:textId="7E191840" w:rsidR="0018234C" w:rsidRPr="0018234C" w:rsidRDefault="0018234C" w:rsidP="00492345">
            <w:r>
              <w:t>P</w:t>
            </w:r>
            <w:r w:rsidRPr="0018234C">
              <w:t>remix with calcium, iron, and niacin levels raised to 15% NRV</w:t>
            </w:r>
          </w:p>
        </w:tc>
        <w:tc>
          <w:tcPr>
            <w:tcW w:w="1362" w:type="pct"/>
          </w:tcPr>
          <w:p w14:paraId="1BBBE3C1" w14:textId="049D2F3C" w:rsidR="0018234C" w:rsidRDefault="0018234C" w:rsidP="00492345">
            <w:r>
              <w:t>1.30</w:t>
            </w:r>
            <w:r w:rsidR="003C713E">
              <w:t>-</w:t>
            </w:r>
            <w:r>
              <w:t>1.36</w:t>
            </w:r>
          </w:p>
        </w:tc>
      </w:tr>
    </w:tbl>
    <w:p w14:paraId="0C6515FB" w14:textId="691DF8DD" w:rsidR="00984859" w:rsidRPr="00CB7858" w:rsidRDefault="392CD6B1" w:rsidP="00CB7858">
      <w:pPr>
        <w:jc w:val="right"/>
        <w:rPr>
          <w:sz w:val="20"/>
          <w:szCs w:val="20"/>
        </w:rPr>
      </w:pPr>
      <w:r w:rsidRPr="3C6AB4A7">
        <w:rPr>
          <w:sz w:val="20"/>
          <w:szCs w:val="20"/>
        </w:rPr>
        <w:t xml:space="preserve">Source: Information provided to </w:t>
      </w:r>
      <w:r w:rsidR="0B5CE9FB" w:rsidRPr="3C6AB4A7">
        <w:rPr>
          <w:sz w:val="20"/>
          <w:szCs w:val="20"/>
        </w:rPr>
        <w:t>DHSC</w:t>
      </w:r>
      <w:r w:rsidRPr="3C6AB4A7">
        <w:rPr>
          <w:sz w:val="20"/>
          <w:szCs w:val="20"/>
        </w:rPr>
        <w:t xml:space="preserve"> by UKFM</w:t>
      </w:r>
    </w:p>
    <w:p w14:paraId="622DC273" w14:textId="77777777" w:rsidR="00984859" w:rsidRDefault="00984859" w:rsidP="00492345"/>
    <w:p w14:paraId="64A85AD5" w14:textId="77777777" w:rsidR="007E1F49" w:rsidRDefault="007E1F49" w:rsidP="00492345"/>
    <w:p w14:paraId="1DA3D28E" w14:textId="77777777" w:rsidR="007E1F49" w:rsidRDefault="007E1F49" w:rsidP="00492345"/>
    <w:p w14:paraId="67EBA1A1" w14:textId="77777777" w:rsidR="007E1F49" w:rsidRDefault="007E1F49" w:rsidP="00492345"/>
    <w:p w14:paraId="2334AFA9" w14:textId="77777777" w:rsidR="007E1F49" w:rsidRDefault="007E1F49" w:rsidP="00492345"/>
    <w:p w14:paraId="3BDC7EDC" w14:textId="77777777" w:rsidR="007E1F49" w:rsidRDefault="007E1F49" w:rsidP="00492345"/>
    <w:p w14:paraId="11A994A5" w14:textId="77777777" w:rsidR="007E1F49" w:rsidRDefault="007E1F49" w:rsidP="00492345"/>
    <w:p w14:paraId="057FE2B0" w14:textId="77777777" w:rsidR="007E1F49" w:rsidRDefault="007E1F49" w:rsidP="00492345"/>
    <w:p w14:paraId="2088147B" w14:textId="77777777" w:rsidR="007E1F49" w:rsidRDefault="007E1F49" w:rsidP="00492345"/>
    <w:p w14:paraId="04BEC567" w14:textId="77777777" w:rsidR="007E1F49" w:rsidRDefault="007E1F49" w:rsidP="00492345"/>
    <w:p w14:paraId="2E3FC345" w14:textId="77777777" w:rsidR="007E1F49" w:rsidRDefault="007E1F49" w:rsidP="00492345"/>
    <w:p w14:paraId="40F1A16A" w14:textId="77777777" w:rsidR="007E1F49" w:rsidRDefault="007E1F49" w:rsidP="00492345"/>
    <w:p w14:paraId="38BF003D" w14:textId="77777777" w:rsidR="007E1F49" w:rsidRDefault="007E1F49" w:rsidP="00492345"/>
    <w:p w14:paraId="44D50D45" w14:textId="77777777" w:rsidR="007E1F49" w:rsidRDefault="007E1F49" w:rsidP="00492345"/>
    <w:p w14:paraId="09CA4164" w14:textId="1278F17D" w:rsidR="00984859" w:rsidRDefault="009B6524" w:rsidP="00492345">
      <w:r w:rsidRPr="00964953">
        <w:t>We assume that the 9% of premix sales that are currently not compliant with the minimum levels required by Regulation 1925/2006 is also an accurate proxy for the proportion of NWWF that is not being fortified to these levels</w:t>
      </w:r>
      <w:r w:rsidR="004E4790" w:rsidRPr="00964953">
        <w:t xml:space="preserve"> (A</w:t>
      </w:r>
      <w:r w:rsidR="00842E67" w:rsidRPr="00964953">
        <w:t>39</w:t>
      </w:r>
      <w:r w:rsidR="004E4790" w:rsidRPr="00964953">
        <w:t>)</w:t>
      </w:r>
      <w:r w:rsidRPr="00964953">
        <w:t>.</w:t>
      </w:r>
      <w:r w:rsidR="008142DF" w:rsidRPr="00964953">
        <w:t xml:space="preserve"> </w:t>
      </w:r>
      <w:r w:rsidR="000A194C" w:rsidRPr="00964953">
        <w:t>U</w:t>
      </w:r>
      <w:r w:rsidR="008142DF" w:rsidRPr="00964953">
        <w:t xml:space="preserve">sing the data provided in </w:t>
      </w:r>
      <w:r w:rsidR="006B662C" w:rsidRPr="00964953">
        <w:fldChar w:fldCharType="begin"/>
      </w:r>
      <w:r w:rsidR="006B662C" w:rsidRPr="00964953">
        <w:instrText xml:space="preserve"> REF _Ref146283424 \h </w:instrText>
      </w:r>
      <w:r w:rsidR="00964953">
        <w:instrText xml:space="preserve"> \* MERGEFORMAT </w:instrText>
      </w:r>
      <w:r w:rsidR="006B662C" w:rsidRPr="00964953">
        <w:fldChar w:fldCharType="separate"/>
      </w:r>
      <w:r w:rsidR="00115CF7">
        <w:t xml:space="preserve">Table </w:t>
      </w:r>
      <w:r w:rsidR="00115CF7">
        <w:rPr>
          <w:noProof/>
        </w:rPr>
        <w:t>33</w:t>
      </w:r>
      <w:r w:rsidR="006B662C" w:rsidRPr="00964953">
        <w:fldChar w:fldCharType="end"/>
      </w:r>
      <w:r w:rsidR="00471997" w:rsidRPr="00964953">
        <w:t xml:space="preserve">, we </w:t>
      </w:r>
      <w:r w:rsidR="002208E4" w:rsidRPr="00964953">
        <w:t>have:</w:t>
      </w:r>
      <w:r w:rsidR="00471997">
        <w:t xml:space="preserve"> </w:t>
      </w:r>
    </w:p>
    <w:p w14:paraId="1746022D" w14:textId="77777777" w:rsidR="00DF19A0" w:rsidRDefault="00DF19A0" w:rsidP="00492345"/>
    <w:p w14:paraId="5BEABBDA" w14:textId="740CE91A" w:rsidR="00424AE7" w:rsidRPr="007F7B64" w:rsidRDefault="00424AE7" w:rsidP="00424AE7">
      <w:pPr>
        <w:pStyle w:val="Caption"/>
        <w:keepNext/>
        <w:rPr>
          <w:color w:val="auto"/>
        </w:rPr>
      </w:pPr>
      <w:r w:rsidRPr="007F7B64">
        <w:rPr>
          <w:color w:val="auto"/>
        </w:rPr>
        <w:t xml:space="preserve">Table </w:t>
      </w:r>
      <w:r w:rsidR="00000F90" w:rsidRPr="007F7B64">
        <w:rPr>
          <w:color w:val="auto"/>
        </w:rPr>
        <w:fldChar w:fldCharType="begin"/>
      </w:r>
      <w:r w:rsidR="00000F90" w:rsidRPr="007F7B64">
        <w:rPr>
          <w:color w:val="auto"/>
        </w:rPr>
        <w:instrText xml:space="preserve"> SEQ Table \* ARABIC </w:instrText>
      </w:r>
      <w:r w:rsidR="00000F90" w:rsidRPr="007F7B64">
        <w:rPr>
          <w:color w:val="auto"/>
        </w:rPr>
        <w:fldChar w:fldCharType="separate"/>
      </w:r>
      <w:r w:rsidR="000E33D5" w:rsidRPr="007F7B64">
        <w:rPr>
          <w:noProof/>
          <w:color w:val="auto"/>
        </w:rPr>
        <w:t>39</w:t>
      </w:r>
      <w:r w:rsidR="00000F90" w:rsidRPr="007F7B64">
        <w:rPr>
          <w:noProof/>
          <w:color w:val="auto"/>
        </w:rPr>
        <w:fldChar w:fldCharType="end"/>
      </w:r>
      <w:r w:rsidRPr="007F7B64">
        <w:rPr>
          <w:color w:val="auto"/>
        </w:rPr>
        <w:t>. Estimated non-compliant annual Scottish flour production and added fortification cost (Option 3)</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194"/>
        <w:gridCol w:w="1891"/>
        <w:gridCol w:w="1887"/>
        <w:gridCol w:w="1887"/>
        <w:gridCol w:w="1887"/>
      </w:tblGrid>
      <w:tr w:rsidR="00BA1BBF" w14:paraId="36506EED" w14:textId="77777777" w:rsidTr="00BA1BBF">
        <w:tc>
          <w:tcPr>
            <w:tcW w:w="1126" w:type="pct"/>
            <w:tcBorders>
              <w:top w:val="single" w:sz="4" w:space="0" w:color="auto"/>
              <w:bottom w:val="nil"/>
            </w:tcBorders>
          </w:tcPr>
          <w:p w14:paraId="66353B79" w14:textId="77777777" w:rsidR="00BA1BBF" w:rsidRPr="00024663" w:rsidRDefault="00BA1BBF" w:rsidP="00100744">
            <w:pPr>
              <w:rPr>
                <w:b/>
                <w:bCs/>
              </w:rPr>
            </w:pPr>
            <w:r w:rsidRPr="00024663">
              <w:rPr>
                <w:b/>
                <w:bCs/>
              </w:rPr>
              <w:t>Estimate</w:t>
            </w:r>
          </w:p>
        </w:tc>
        <w:tc>
          <w:tcPr>
            <w:tcW w:w="970" w:type="pct"/>
            <w:tcBorders>
              <w:top w:val="single" w:sz="4" w:space="0" w:color="auto"/>
              <w:bottom w:val="nil"/>
            </w:tcBorders>
          </w:tcPr>
          <w:p w14:paraId="72C4A01F" w14:textId="77777777" w:rsidR="00BA1BBF" w:rsidRPr="00024663" w:rsidRDefault="00BA1BBF" w:rsidP="00100744">
            <w:pPr>
              <w:rPr>
                <w:b/>
                <w:bCs/>
              </w:rPr>
            </w:pPr>
            <w:r w:rsidRPr="00024663">
              <w:rPr>
                <w:b/>
                <w:bCs/>
              </w:rPr>
              <w:t xml:space="preserve">Estimated </w:t>
            </w:r>
            <w:r>
              <w:rPr>
                <w:b/>
                <w:bCs/>
              </w:rPr>
              <w:t>annual</w:t>
            </w:r>
            <w:r w:rsidRPr="00024663">
              <w:rPr>
                <w:b/>
                <w:bCs/>
              </w:rPr>
              <w:t xml:space="preserve"> </w:t>
            </w:r>
            <w:r>
              <w:rPr>
                <w:b/>
                <w:bCs/>
              </w:rPr>
              <w:t>Scottish NWWF flour production</w:t>
            </w:r>
          </w:p>
        </w:tc>
        <w:tc>
          <w:tcPr>
            <w:tcW w:w="968" w:type="pct"/>
            <w:tcBorders>
              <w:top w:val="single" w:sz="4" w:space="0" w:color="auto"/>
              <w:bottom w:val="nil"/>
            </w:tcBorders>
          </w:tcPr>
          <w:p w14:paraId="184A43BB" w14:textId="2FB47648" w:rsidR="00BA1BBF" w:rsidRPr="00024663" w:rsidRDefault="00BA1BBF" w:rsidP="00100744">
            <w:pPr>
              <w:rPr>
                <w:b/>
                <w:bCs/>
              </w:rPr>
            </w:pPr>
            <w:r>
              <w:rPr>
                <w:b/>
                <w:bCs/>
              </w:rPr>
              <w:t>Estimated non-compliant Scottish NWWF flour production</w:t>
            </w:r>
          </w:p>
        </w:tc>
        <w:tc>
          <w:tcPr>
            <w:tcW w:w="968" w:type="pct"/>
            <w:tcBorders>
              <w:top w:val="single" w:sz="4" w:space="0" w:color="auto"/>
              <w:bottom w:val="nil"/>
            </w:tcBorders>
          </w:tcPr>
          <w:p w14:paraId="3E5D9870" w14:textId="4CC2239E" w:rsidR="00BA1BBF" w:rsidRPr="00024663" w:rsidRDefault="00BA1BBF" w:rsidP="00100744">
            <w:pPr>
              <w:rPr>
                <w:b/>
                <w:bCs/>
              </w:rPr>
            </w:pPr>
            <w:r>
              <w:rPr>
                <w:b/>
                <w:bCs/>
              </w:rPr>
              <w:t xml:space="preserve">Assumed </w:t>
            </w:r>
            <w:r w:rsidR="008B0712">
              <w:rPr>
                <w:b/>
                <w:bCs/>
              </w:rPr>
              <w:t xml:space="preserve">added </w:t>
            </w:r>
            <w:r>
              <w:rPr>
                <w:b/>
                <w:bCs/>
              </w:rPr>
              <w:t>fortificant cost for nutrients</w:t>
            </w:r>
          </w:p>
        </w:tc>
        <w:tc>
          <w:tcPr>
            <w:tcW w:w="968" w:type="pct"/>
            <w:tcBorders>
              <w:top w:val="single" w:sz="4" w:space="0" w:color="auto"/>
              <w:bottom w:val="nil"/>
            </w:tcBorders>
          </w:tcPr>
          <w:p w14:paraId="7C3FCAB5" w14:textId="2D1FF743" w:rsidR="00BA1BBF" w:rsidRPr="00024663" w:rsidRDefault="00BA1BBF" w:rsidP="00100744">
            <w:pPr>
              <w:rPr>
                <w:b/>
                <w:bCs/>
              </w:rPr>
            </w:pPr>
            <w:r w:rsidRPr="00024663">
              <w:rPr>
                <w:b/>
                <w:bCs/>
              </w:rPr>
              <w:t xml:space="preserve">Estimated </w:t>
            </w:r>
            <w:r>
              <w:rPr>
                <w:b/>
                <w:bCs/>
              </w:rPr>
              <w:t>added annual</w:t>
            </w:r>
            <w:r w:rsidRPr="00024663">
              <w:rPr>
                <w:b/>
                <w:bCs/>
              </w:rPr>
              <w:t xml:space="preserve"> </w:t>
            </w:r>
            <w:r>
              <w:rPr>
                <w:b/>
                <w:bCs/>
              </w:rPr>
              <w:t>Scottish fortification cost</w:t>
            </w:r>
          </w:p>
        </w:tc>
      </w:tr>
      <w:tr w:rsidR="00BA1BBF" w14:paraId="4D5F64EC" w14:textId="77777777" w:rsidTr="00BA1BBF">
        <w:tc>
          <w:tcPr>
            <w:tcW w:w="1126" w:type="pct"/>
            <w:tcBorders>
              <w:top w:val="nil"/>
              <w:bottom w:val="single" w:sz="4" w:space="0" w:color="auto"/>
            </w:tcBorders>
          </w:tcPr>
          <w:p w14:paraId="46BC4699" w14:textId="77777777" w:rsidR="00BA1BBF" w:rsidRPr="00024663" w:rsidRDefault="00BA1BBF" w:rsidP="00100744">
            <w:pPr>
              <w:rPr>
                <w:b/>
                <w:bCs/>
              </w:rPr>
            </w:pPr>
          </w:p>
        </w:tc>
        <w:tc>
          <w:tcPr>
            <w:tcW w:w="970" w:type="pct"/>
            <w:tcBorders>
              <w:top w:val="nil"/>
              <w:bottom w:val="single" w:sz="4" w:space="0" w:color="auto"/>
            </w:tcBorders>
          </w:tcPr>
          <w:p w14:paraId="7D2E9B31" w14:textId="77777777" w:rsidR="00BA1BBF" w:rsidRPr="00026B23" w:rsidRDefault="00BA1BBF" w:rsidP="00100744">
            <w:pPr>
              <w:rPr>
                <w:sz w:val="20"/>
                <w:szCs w:val="20"/>
              </w:rPr>
            </w:pPr>
            <w:r>
              <w:rPr>
                <w:sz w:val="20"/>
                <w:szCs w:val="20"/>
              </w:rPr>
              <w:t>Thousand tonnes</w:t>
            </w:r>
          </w:p>
        </w:tc>
        <w:tc>
          <w:tcPr>
            <w:tcW w:w="968" w:type="pct"/>
            <w:tcBorders>
              <w:top w:val="nil"/>
              <w:bottom w:val="single" w:sz="4" w:space="0" w:color="auto"/>
            </w:tcBorders>
          </w:tcPr>
          <w:p w14:paraId="09A16D36" w14:textId="7C2CBA23" w:rsidR="00BA1BBF" w:rsidRDefault="00BA1BBF" w:rsidP="00100744">
            <w:pPr>
              <w:rPr>
                <w:sz w:val="20"/>
                <w:szCs w:val="20"/>
              </w:rPr>
            </w:pPr>
            <w:r>
              <w:rPr>
                <w:sz w:val="20"/>
                <w:szCs w:val="20"/>
              </w:rPr>
              <w:t>Thousand tonnes</w:t>
            </w:r>
          </w:p>
        </w:tc>
        <w:tc>
          <w:tcPr>
            <w:tcW w:w="968" w:type="pct"/>
            <w:tcBorders>
              <w:top w:val="nil"/>
              <w:bottom w:val="single" w:sz="4" w:space="0" w:color="auto"/>
            </w:tcBorders>
          </w:tcPr>
          <w:p w14:paraId="2E030E0B" w14:textId="39BF9BF7" w:rsidR="00BA1BBF" w:rsidRDefault="008B0712" w:rsidP="00100744">
            <w:pPr>
              <w:rPr>
                <w:sz w:val="20"/>
                <w:szCs w:val="20"/>
              </w:rPr>
            </w:pPr>
            <w:r>
              <w:rPr>
                <w:sz w:val="20"/>
                <w:szCs w:val="20"/>
              </w:rPr>
              <w:t xml:space="preserve">£ </w:t>
            </w:r>
            <w:r w:rsidR="00197F3E">
              <w:rPr>
                <w:sz w:val="20"/>
                <w:szCs w:val="20"/>
              </w:rPr>
              <w:t>2024</w:t>
            </w:r>
          </w:p>
        </w:tc>
        <w:tc>
          <w:tcPr>
            <w:tcW w:w="968" w:type="pct"/>
            <w:tcBorders>
              <w:top w:val="nil"/>
              <w:bottom w:val="single" w:sz="4" w:space="0" w:color="auto"/>
            </w:tcBorders>
          </w:tcPr>
          <w:p w14:paraId="0004A5F5" w14:textId="0DD72B7E" w:rsidR="00BA1BBF" w:rsidRDefault="008B0712" w:rsidP="00100744">
            <w:pPr>
              <w:rPr>
                <w:sz w:val="20"/>
                <w:szCs w:val="20"/>
              </w:rPr>
            </w:pPr>
            <w:r>
              <w:rPr>
                <w:sz w:val="20"/>
                <w:szCs w:val="20"/>
              </w:rPr>
              <w:t xml:space="preserve">£ </w:t>
            </w:r>
            <w:r w:rsidR="00197F3E">
              <w:rPr>
                <w:sz w:val="20"/>
                <w:szCs w:val="20"/>
              </w:rPr>
              <w:t>2024</w:t>
            </w:r>
          </w:p>
        </w:tc>
      </w:tr>
      <w:tr w:rsidR="00B450A9" w14:paraId="1DD01DFC" w14:textId="77777777" w:rsidTr="00BA1BBF">
        <w:tc>
          <w:tcPr>
            <w:tcW w:w="1126" w:type="pct"/>
            <w:tcBorders>
              <w:top w:val="single" w:sz="4" w:space="0" w:color="auto"/>
            </w:tcBorders>
          </w:tcPr>
          <w:p w14:paraId="5FAF7F0F" w14:textId="77777777" w:rsidR="00B450A9" w:rsidRDefault="00B450A9" w:rsidP="00B450A9">
            <w:r>
              <w:t>Low</w:t>
            </w:r>
          </w:p>
        </w:tc>
        <w:tc>
          <w:tcPr>
            <w:tcW w:w="970" w:type="pct"/>
            <w:tcBorders>
              <w:top w:val="single" w:sz="4" w:space="0" w:color="auto"/>
            </w:tcBorders>
          </w:tcPr>
          <w:p w14:paraId="51E90162" w14:textId="4E2E0AD7" w:rsidR="00B450A9" w:rsidRDefault="00B450A9" w:rsidP="00B450A9">
            <w:r>
              <w:t>66.7</w:t>
            </w:r>
          </w:p>
        </w:tc>
        <w:tc>
          <w:tcPr>
            <w:tcW w:w="968" w:type="pct"/>
            <w:tcBorders>
              <w:top w:val="single" w:sz="4" w:space="0" w:color="auto"/>
            </w:tcBorders>
          </w:tcPr>
          <w:p w14:paraId="3C0201F3" w14:textId="59E54F84" w:rsidR="00B450A9" w:rsidRDefault="005A457C" w:rsidP="00B450A9">
            <w:r>
              <w:t>6.0</w:t>
            </w:r>
          </w:p>
        </w:tc>
        <w:tc>
          <w:tcPr>
            <w:tcW w:w="968" w:type="pct"/>
            <w:tcBorders>
              <w:top w:val="single" w:sz="4" w:space="0" w:color="auto"/>
            </w:tcBorders>
          </w:tcPr>
          <w:p w14:paraId="7D8FE68C" w14:textId="347A27C5" w:rsidR="00B450A9" w:rsidRDefault="00B450A9" w:rsidP="00B450A9">
            <w:r>
              <w:t>0.10</w:t>
            </w:r>
          </w:p>
        </w:tc>
        <w:tc>
          <w:tcPr>
            <w:tcW w:w="968" w:type="pct"/>
            <w:tcBorders>
              <w:top w:val="single" w:sz="4" w:space="0" w:color="auto"/>
            </w:tcBorders>
          </w:tcPr>
          <w:p w14:paraId="72E6DD99" w14:textId="04AB9455" w:rsidR="00B450A9" w:rsidRDefault="00B450A9" w:rsidP="00B450A9">
            <w:r>
              <w:t>98</w:t>
            </w:r>
            <w:r w:rsidR="00AB729F">
              <w:t>5</w:t>
            </w:r>
          </w:p>
        </w:tc>
      </w:tr>
      <w:tr w:rsidR="00B450A9" w14:paraId="40443EC0" w14:textId="77777777" w:rsidTr="00BA1BBF">
        <w:tc>
          <w:tcPr>
            <w:tcW w:w="1126" w:type="pct"/>
          </w:tcPr>
          <w:p w14:paraId="541B197F" w14:textId="77777777" w:rsidR="00B450A9" w:rsidRDefault="00B450A9" w:rsidP="00B450A9">
            <w:r>
              <w:t>Central</w:t>
            </w:r>
          </w:p>
        </w:tc>
        <w:tc>
          <w:tcPr>
            <w:tcW w:w="970" w:type="pct"/>
          </w:tcPr>
          <w:p w14:paraId="410570A8" w14:textId="7F874921" w:rsidR="00B450A9" w:rsidRDefault="00B450A9" w:rsidP="00B450A9">
            <w:r>
              <w:t>200.0</w:t>
            </w:r>
          </w:p>
        </w:tc>
        <w:tc>
          <w:tcPr>
            <w:tcW w:w="968" w:type="pct"/>
          </w:tcPr>
          <w:p w14:paraId="29DEF676" w14:textId="5345A061" w:rsidR="00B450A9" w:rsidRDefault="001319E8" w:rsidP="00B450A9">
            <w:r>
              <w:t>18.0</w:t>
            </w:r>
          </w:p>
        </w:tc>
        <w:tc>
          <w:tcPr>
            <w:tcW w:w="968" w:type="pct"/>
          </w:tcPr>
          <w:p w14:paraId="5635CDE6" w14:textId="7A82EA29" w:rsidR="00B450A9" w:rsidRDefault="00B450A9" w:rsidP="00B450A9">
            <w:r>
              <w:t>0.13</w:t>
            </w:r>
          </w:p>
        </w:tc>
        <w:tc>
          <w:tcPr>
            <w:tcW w:w="968" w:type="pct"/>
          </w:tcPr>
          <w:p w14:paraId="08BFC70F" w14:textId="18E3FC4B" w:rsidR="00B450A9" w:rsidRDefault="00B450A9" w:rsidP="00B450A9">
            <w:r>
              <w:t>2</w:t>
            </w:r>
            <w:r w:rsidR="00AB729F">
              <w:t>,954</w:t>
            </w:r>
          </w:p>
        </w:tc>
      </w:tr>
      <w:tr w:rsidR="00B450A9" w14:paraId="36D2E617" w14:textId="77777777" w:rsidTr="00BA1BBF">
        <w:tc>
          <w:tcPr>
            <w:tcW w:w="1126" w:type="pct"/>
          </w:tcPr>
          <w:p w14:paraId="15281D5A" w14:textId="77777777" w:rsidR="00B450A9" w:rsidRDefault="00B450A9" w:rsidP="00B450A9">
            <w:r>
              <w:t>High</w:t>
            </w:r>
          </w:p>
        </w:tc>
        <w:tc>
          <w:tcPr>
            <w:tcW w:w="970" w:type="pct"/>
          </w:tcPr>
          <w:p w14:paraId="41FE793F" w14:textId="103B6BA9" w:rsidR="00B450A9" w:rsidRDefault="00B450A9" w:rsidP="00B450A9">
            <w:r>
              <w:t>333.3</w:t>
            </w:r>
          </w:p>
        </w:tc>
        <w:tc>
          <w:tcPr>
            <w:tcW w:w="968" w:type="pct"/>
          </w:tcPr>
          <w:p w14:paraId="0CB236F2" w14:textId="5F5B1DF3" w:rsidR="00B450A9" w:rsidRDefault="00862A2E" w:rsidP="00B450A9">
            <w:r>
              <w:t>30.0</w:t>
            </w:r>
          </w:p>
        </w:tc>
        <w:tc>
          <w:tcPr>
            <w:tcW w:w="968" w:type="pct"/>
          </w:tcPr>
          <w:p w14:paraId="1DB32BDF" w14:textId="20EDF6FE" w:rsidR="00B450A9" w:rsidRDefault="00B450A9" w:rsidP="00B450A9">
            <w:r>
              <w:t>0.16</w:t>
            </w:r>
          </w:p>
        </w:tc>
        <w:tc>
          <w:tcPr>
            <w:tcW w:w="968" w:type="pct"/>
          </w:tcPr>
          <w:p w14:paraId="5A7E3562" w14:textId="092111B6" w:rsidR="00B450A9" w:rsidRDefault="00AB729F" w:rsidP="00B450A9">
            <w:r>
              <w:t>4,924</w:t>
            </w:r>
          </w:p>
        </w:tc>
      </w:tr>
    </w:tbl>
    <w:p w14:paraId="468B39CD" w14:textId="77777777" w:rsidR="00DF19A0" w:rsidRDefault="00DF19A0" w:rsidP="00492345"/>
    <w:p w14:paraId="1BDC6655" w14:textId="31ACB049" w:rsidR="001B7447" w:rsidRDefault="00F21439" w:rsidP="00492345">
      <w:r>
        <w:t>Discounted using the same 10 year appraisal period as before:</w:t>
      </w:r>
    </w:p>
    <w:p w14:paraId="494CAC93" w14:textId="77777777" w:rsidR="00F21439" w:rsidRDefault="00F21439" w:rsidP="00492345"/>
    <w:p w14:paraId="692828E9" w14:textId="5EBE0496" w:rsidR="00424AE7" w:rsidRPr="007F7B64" w:rsidRDefault="00424AE7" w:rsidP="00424AE7">
      <w:pPr>
        <w:pStyle w:val="Caption"/>
        <w:keepNext/>
        <w:rPr>
          <w:color w:val="auto"/>
        </w:rPr>
      </w:pPr>
      <w:r w:rsidRPr="007F7B64">
        <w:rPr>
          <w:color w:val="auto"/>
        </w:rPr>
        <w:t xml:space="preserve">Table </w:t>
      </w:r>
      <w:r w:rsidR="00000F90" w:rsidRPr="007F7B64">
        <w:rPr>
          <w:color w:val="auto"/>
        </w:rPr>
        <w:fldChar w:fldCharType="begin"/>
      </w:r>
      <w:r w:rsidR="00000F90" w:rsidRPr="007F7B64">
        <w:rPr>
          <w:color w:val="auto"/>
        </w:rPr>
        <w:instrText xml:space="preserve"> SEQ Table \* ARABIC </w:instrText>
      </w:r>
      <w:r w:rsidR="00000F90" w:rsidRPr="007F7B64">
        <w:rPr>
          <w:color w:val="auto"/>
        </w:rPr>
        <w:fldChar w:fldCharType="separate"/>
      </w:r>
      <w:r w:rsidR="000E33D5" w:rsidRPr="007F7B64">
        <w:rPr>
          <w:noProof/>
          <w:color w:val="auto"/>
        </w:rPr>
        <w:t>40</w:t>
      </w:r>
      <w:r w:rsidR="00000F90" w:rsidRPr="007F7B64">
        <w:rPr>
          <w:noProof/>
          <w:color w:val="auto"/>
        </w:rPr>
        <w:fldChar w:fldCharType="end"/>
      </w:r>
      <w:r w:rsidRPr="007F7B64">
        <w:rPr>
          <w:color w:val="auto"/>
        </w:rPr>
        <w:t>. Estimated additional total Scottish discounted fortification cost</w:t>
      </w:r>
      <w:r w:rsidR="007D6688" w:rsidRPr="007F7B64">
        <w:rPr>
          <w:color w:val="auto"/>
        </w:rPr>
        <w:t xml:space="preserve"> (Option 3)</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62"/>
        <w:gridCol w:w="3481"/>
        <w:gridCol w:w="3403"/>
      </w:tblGrid>
      <w:tr w:rsidR="00F21439" w14:paraId="65108DEA" w14:textId="77777777" w:rsidTr="00100744">
        <w:tc>
          <w:tcPr>
            <w:tcW w:w="1468" w:type="pct"/>
            <w:tcBorders>
              <w:top w:val="single" w:sz="4" w:space="0" w:color="auto"/>
              <w:bottom w:val="nil"/>
            </w:tcBorders>
          </w:tcPr>
          <w:p w14:paraId="10107BF8" w14:textId="77777777" w:rsidR="00F21439" w:rsidRPr="00024663" w:rsidRDefault="00F21439" w:rsidP="00100744">
            <w:pPr>
              <w:rPr>
                <w:b/>
                <w:bCs/>
              </w:rPr>
            </w:pPr>
            <w:r w:rsidRPr="00024663">
              <w:rPr>
                <w:b/>
                <w:bCs/>
              </w:rPr>
              <w:t>Estimate</w:t>
            </w:r>
          </w:p>
        </w:tc>
        <w:tc>
          <w:tcPr>
            <w:tcW w:w="1786" w:type="pct"/>
            <w:tcBorders>
              <w:top w:val="single" w:sz="4" w:space="0" w:color="auto"/>
              <w:bottom w:val="nil"/>
            </w:tcBorders>
          </w:tcPr>
          <w:p w14:paraId="63709483" w14:textId="3479C0FD" w:rsidR="00F21439" w:rsidRPr="00024663" w:rsidRDefault="0043040B" w:rsidP="00100744">
            <w:pPr>
              <w:rPr>
                <w:b/>
                <w:bCs/>
              </w:rPr>
            </w:pPr>
            <w:r w:rsidRPr="00024663">
              <w:rPr>
                <w:b/>
                <w:bCs/>
              </w:rPr>
              <w:t xml:space="preserve">Estimated </w:t>
            </w:r>
            <w:r>
              <w:rPr>
                <w:b/>
                <w:bCs/>
              </w:rPr>
              <w:t>added annual</w:t>
            </w:r>
            <w:r w:rsidRPr="00024663">
              <w:rPr>
                <w:b/>
                <w:bCs/>
              </w:rPr>
              <w:t xml:space="preserve"> </w:t>
            </w:r>
            <w:r>
              <w:rPr>
                <w:b/>
                <w:bCs/>
              </w:rPr>
              <w:t>Scottish fortification cost</w:t>
            </w:r>
          </w:p>
        </w:tc>
        <w:tc>
          <w:tcPr>
            <w:tcW w:w="1746" w:type="pct"/>
            <w:tcBorders>
              <w:top w:val="single" w:sz="4" w:space="0" w:color="auto"/>
              <w:bottom w:val="nil"/>
            </w:tcBorders>
          </w:tcPr>
          <w:p w14:paraId="70FE4100" w14:textId="45B5E25A" w:rsidR="00F21439" w:rsidRPr="00024663" w:rsidRDefault="00F21439" w:rsidP="00100744">
            <w:pPr>
              <w:rPr>
                <w:b/>
                <w:bCs/>
              </w:rPr>
            </w:pPr>
            <w:r w:rsidRPr="00024663">
              <w:rPr>
                <w:b/>
                <w:bCs/>
              </w:rPr>
              <w:t xml:space="preserve">Estimated </w:t>
            </w:r>
            <w:r w:rsidR="003E7503">
              <w:rPr>
                <w:b/>
                <w:bCs/>
              </w:rPr>
              <w:t xml:space="preserve">added </w:t>
            </w:r>
            <w:r>
              <w:rPr>
                <w:b/>
                <w:bCs/>
              </w:rPr>
              <w:t>total discounted</w:t>
            </w:r>
            <w:r w:rsidRPr="00024663">
              <w:rPr>
                <w:b/>
                <w:bCs/>
              </w:rPr>
              <w:t xml:space="preserve"> </w:t>
            </w:r>
            <w:r>
              <w:rPr>
                <w:b/>
                <w:bCs/>
              </w:rPr>
              <w:t>Scottish fortification cost</w:t>
            </w:r>
          </w:p>
        </w:tc>
      </w:tr>
      <w:tr w:rsidR="00F21439" w14:paraId="2DC54314" w14:textId="77777777" w:rsidTr="00100744">
        <w:tc>
          <w:tcPr>
            <w:tcW w:w="1468" w:type="pct"/>
            <w:tcBorders>
              <w:top w:val="nil"/>
              <w:bottom w:val="single" w:sz="4" w:space="0" w:color="auto"/>
            </w:tcBorders>
          </w:tcPr>
          <w:p w14:paraId="47214005" w14:textId="77777777" w:rsidR="00F21439" w:rsidRPr="00024663" w:rsidRDefault="00F21439" w:rsidP="00100744">
            <w:pPr>
              <w:rPr>
                <w:b/>
                <w:bCs/>
              </w:rPr>
            </w:pPr>
          </w:p>
        </w:tc>
        <w:tc>
          <w:tcPr>
            <w:tcW w:w="1786" w:type="pct"/>
            <w:tcBorders>
              <w:top w:val="nil"/>
              <w:bottom w:val="single" w:sz="4" w:space="0" w:color="auto"/>
            </w:tcBorders>
          </w:tcPr>
          <w:p w14:paraId="61A1DCE0" w14:textId="718C9C4A" w:rsidR="00F21439" w:rsidRPr="00026B23" w:rsidRDefault="00335ECB" w:rsidP="00100744">
            <w:pPr>
              <w:rPr>
                <w:sz w:val="20"/>
                <w:szCs w:val="20"/>
              </w:rPr>
            </w:pPr>
            <w:r>
              <w:rPr>
                <w:sz w:val="20"/>
                <w:szCs w:val="20"/>
              </w:rPr>
              <w:t>2024</w:t>
            </w:r>
            <w:r w:rsidR="00F21439">
              <w:rPr>
                <w:sz w:val="20"/>
                <w:szCs w:val="20"/>
              </w:rPr>
              <w:t xml:space="preserve"> prices</w:t>
            </w:r>
          </w:p>
        </w:tc>
        <w:tc>
          <w:tcPr>
            <w:tcW w:w="1746" w:type="pct"/>
            <w:tcBorders>
              <w:top w:val="nil"/>
              <w:bottom w:val="single" w:sz="4" w:space="0" w:color="auto"/>
            </w:tcBorders>
          </w:tcPr>
          <w:p w14:paraId="19A36E25" w14:textId="4FBC1E18" w:rsidR="00F21439" w:rsidRPr="00026B23" w:rsidRDefault="00335ECB" w:rsidP="00100744">
            <w:pPr>
              <w:rPr>
                <w:sz w:val="20"/>
                <w:szCs w:val="20"/>
              </w:rPr>
            </w:pPr>
            <w:r>
              <w:rPr>
                <w:sz w:val="20"/>
                <w:szCs w:val="20"/>
              </w:rPr>
              <w:t>2024</w:t>
            </w:r>
            <w:r w:rsidR="00F21439">
              <w:rPr>
                <w:sz w:val="20"/>
                <w:szCs w:val="20"/>
              </w:rPr>
              <w:t xml:space="preserve"> prices</w:t>
            </w:r>
          </w:p>
        </w:tc>
      </w:tr>
      <w:tr w:rsidR="00C019E8" w14:paraId="563E104B" w14:textId="77777777" w:rsidTr="00100744">
        <w:tc>
          <w:tcPr>
            <w:tcW w:w="1468" w:type="pct"/>
            <w:tcBorders>
              <w:top w:val="single" w:sz="4" w:space="0" w:color="auto"/>
            </w:tcBorders>
          </w:tcPr>
          <w:p w14:paraId="03AB349B" w14:textId="77777777" w:rsidR="00C019E8" w:rsidRDefault="00C019E8" w:rsidP="00C019E8">
            <w:r>
              <w:t>Low</w:t>
            </w:r>
          </w:p>
        </w:tc>
        <w:tc>
          <w:tcPr>
            <w:tcW w:w="1786" w:type="pct"/>
            <w:tcBorders>
              <w:top w:val="single" w:sz="4" w:space="0" w:color="auto"/>
            </w:tcBorders>
          </w:tcPr>
          <w:p w14:paraId="5A0DC5B8" w14:textId="25684728" w:rsidR="00C019E8" w:rsidRDefault="00C019E8" w:rsidP="00C019E8">
            <w:r>
              <w:t>98</w:t>
            </w:r>
            <w:r w:rsidR="00326EF6">
              <w:t>5</w:t>
            </w:r>
          </w:p>
        </w:tc>
        <w:tc>
          <w:tcPr>
            <w:tcW w:w="1746" w:type="pct"/>
            <w:tcBorders>
              <w:top w:val="single" w:sz="4" w:space="0" w:color="auto"/>
            </w:tcBorders>
          </w:tcPr>
          <w:p w14:paraId="5D671283" w14:textId="40D1E461" w:rsidR="00C019E8" w:rsidRDefault="006B6A81" w:rsidP="00C019E8">
            <w:r>
              <w:t>8,476</w:t>
            </w:r>
          </w:p>
        </w:tc>
      </w:tr>
      <w:tr w:rsidR="00326EF6" w14:paraId="72FFFC14" w14:textId="77777777" w:rsidTr="00100744">
        <w:tc>
          <w:tcPr>
            <w:tcW w:w="1468" w:type="pct"/>
          </w:tcPr>
          <w:p w14:paraId="2603EBE2" w14:textId="77777777" w:rsidR="00326EF6" w:rsidRDefault="00326EF6" w:rsidP="00326EF6">
            <w:r>
              <w:t>Central</w:t>
            </w:r>
          </w:p>
        </w:tc>
        <w:tc>
          <w:tcPr>
            <w:tcW w:w="1786" w:type="pct"/>
          </w:tcPr>
          <w:p w14:paraId="7F7D0062" w14:textId="78A1221E" w:rsidR="00326EF6" w:rsidRDefault="00326EF6" w:rsidP="00326EF6">
            <w:r>
              <w:t>2,954</w:t>
            </w:r>
          </w:p>
        </w:tc>
        <w:tc>
          <w:tcPr>
            <w:tcW w:w="1746" w:type="pct"/>
          </w:tcPr>
          <w:p w14:paraId="7984B426" w14:textId="476FD1AA" w:rsidR="00326EF6" w:rsidRDefault="00D30BAC" w:rsidP="00326EF6">
            <w:r>
              <w:t>25,429</w:t>
            </w:r>
          </w:p>
        </w:tc>
      </w:tr>
      <w:tr w:rsidR="00326EF6" w14:paraId="79B0B8C0" w14:textId="77777777" w:rsidTr="00100744">
        <w:tc>
          <w:tcPr>
            <w:tcW w:w="1468" w:type="pct"/>
          </w:tcPr>
          <w:p w14:paraId="61768938" w14:textId="77777777" w:rsidR="00326EF6" w:rsidRDefault="00326EF6" w:rsidP="00326EF6">
            <w:r>
              <w:t>High</w:t>
            </w:r>
          </w:p>
        </w:tc>
        <w:tc>
          <w:tcPr>
            <w:tcW w:w="1786" w:type="pct"/>
          </w:tcPr>
          <w:p w14:paraId="1B7B1039" w14:textId="1311B5B6" w:rsidR="00326EF6" w:rsidRDefault="00326EF6" w:rsidP="00326EF6">
            <w:r>
              <w:t>4,924</w:t>
            </w:r>
          </w:p>
        </w:tc>
        <w:tc>
          <w:tcPr>
            <w:tcW w:w="1746" w:type="pct"/>
          </w:tcPr>
          <w:p w14:paraId="5B2A1D3E" w14:textId="2555D1B3" w:rsidR="00326EF6" w:rsidRDefault="00430F27" w:rsidP="00326EF6">
            <w:r>
              <w:t>42,382</w:t>
            </w:r>
          </w:p>
        </w:tc>
      </w:tr>
    </w:tbl>
    <w:p w14:paraId="238D0036" w14:textId="77777777" w:rsidR="00F21439" w:rsidRDefault="00F21439" w:rsidP="00492345"/>
    <w:p w14:paraId="714E54AE" w14:textId="354A3002" w:rsidR="008420D5" w:rsidRDefault="008420D5" w:rsidP="00175397">
      <w:pPr>
        <w:rPr>
          <w:rFonts w:eastAsia="Arial" w:cs="Arial"/>
          <w:color w:val="000000" w:themeColor="text1"/>
        </w:rPr>
      </w:pPr>
      <w:r>
        <w:rPr>
          <w:rFonts w:eastAsia="Arial" w:cs="Arial"/>
          <w:color w:val="000000" w:themeColor="text1"/>
        </w:rPr>
        <w:t>These fortification costs are in addition to</w:t>
      </w:r>
      <w:r w:rsidR="00E43EB0">
        <w:rPr>
          <w:rFonts w:eastAsia="Arial" w:cs="Arial"/>
          <w:color w:val="000000" w:themeColor="text1"/>
        </w:rPr>
        <w:t xml:space="preserve"> the fortification costs presented in </w:t>
      </w:r>
      <w:r w:rsidR="001575E8">
        <w:rPr>
          <w:rFonts w:eastAsia="Arial" w:cs="Arial"/>
          <w:color w:val="000000" w:themeColor="text1"/>
        </w:rPr>
        <w:fldChar w:fldCharType="begin"/>
      </w:r>
      <w:r w:rsidR="001575E8">
        <w:rPr>
          <w:rFonts w:eastAsia="Arial" w:cs="Arial"/>
          <w:color w:val="000000" w:themeColor="text1"/>
        </w:rPr>
        <w:instrText xml:space="preserve"> REF _Ref164932599 \r \h </w:instrText>
      </w:r>
      <w:r w:rsidR="001575E8">
        <w:rPr>
          <w:rFonts w:eastAsia="Arial" w:cs="Arial"/>
          <w:color w:val="000000" w:themeColor="text1"/>
        </w:rPr>
      </w:r>
      <w:r w:rsidR="001575E8">
        <w:rPr>
          <w:rFonts w:eastAsia="Arial" w:cs="Arial"/>
          <w:color w:val="000000" w:themeColor="text1"/>
        </w:rPr>
        <w:fldChar w:fldCharType="separate"/>
      </w:r>
      <w:r w:rsidR="00115CF7">
        <w:rPr>
          <w:rFonts w:eastAsia="Arial" w:cs="Arial"/>
          <w:color w:val="000000" w:themeColor="text1"/>
        </w:rPr>
        <w:t>17.1.4</w:t>
      </w:r>
      <w:r w:rsidR="001575E8">
        <w:rPr>
          <w:rFonts w:eastAsia="Arial" w:cs="Arial"/>
          <w:color w:val="000000" w:themeColor="text1"/>
        </w:rPr>
        <w:fldChar w:fldCharType="end"/>
      </w:r>
      <w:r w:rsidR="001575E8">
        <w:rPr>
          <w:rFonts w:eastAsia="Arial" w:cs="Arial"/>
          <w:color w:val="000000" w:themeColor="text1"/>
        </w:rPr>
        <w:t>.</w:t>
      </w:r>
    </w:p>
    <w:p w14:paraId="74D3C89A" w14:textId="77777777" w:rsidR="008420D5" w:rsidRDefault="008420D5" w:rsidP="00175397">
      <w:pPr>
        <w:rPr>
          <w:rFonts w:eastAsia="Arial" w:cs="Arial"/>
          <w:color w:val="000000" w:themeColor="text1"/>
        </w:rPr>
      </w:pPr>
    </w:p>
    <w:p w14:paraId="49820D81" w14:textId="525C9A96" w:rsidR="00175397" w:rsidRDefault="00175397" w:rsidP="00175397">
      <w:pPr>
        <w:rPr>
          <w:rFonts w:eastAsia="Arial" w:cs="Arial"/>
          <w:color w:val="000000" w:themeColor="text1"/>
        </w:rPr>
      </w:pPr>
      <w:r w:rsidRPr="00175397">
        <w:rPr>
          <w:rFonts w:eastAsia="Arial" w:cs="Arial"/>
          <w:color w:val="000000" w:themeColor="text1"/>
        </w:rPr>
        <w:t xml:space="preserve">Since July 2021, </w:t>
      </w:r>
      <w:r w:rsidRPr="00D247E9">
        <w:rPr>
          <w:rFonts w:eastAsia="Arial" w:cs="Arial"/>
          <w:color w:val="000000" w:themeColor="text1"/>
        </w:rPr>
        <w:t xml:space="preserve">UK-produced food grade calcium carbonate is no longer available in significant </w:t>
      </w:r>
      <w:r w:rsidRPr="00D247E9">
        <w:rPr>
          <w:rFonts w:ascii="Arial" w:eastAsia="Arial" w:hAnsi="Arial" w:cs="Arial"/>
          <w:color w:val="000000" w:themeColor="text1"/>
        </w:rPr>
        <w:t>amounts</w:t>
      </w:r>
      <w:r w:rsidRPr="00D247E9">
        <w:rPr>
          <w:rStyle w:val="FootnoteReference"/>
          <w:rFonts w:ascii="Arial" w:eastAsia="Arial" w:hAnsi="Arial" w:cs="Arial"/>
          <w:color w:val="000000" w:themeColor="text1"/>
          <w:sz w:val="24"/>
        </w:rPr>
        <w:footnoteReference w:id="26"/>
      </w:r>
      <w:r w:rsidRPr="00D247E9">
        <w:rPr>
          <w:rFonts w:ascii="Arial" w:eastAsia="Arial" w:hAnsi="Arial" w:cs="Arial"/>
          <w:color w:val="000000" w:themeColor="text1"/>
        </w:rPr>
        <w:t>,</w:t>
      </w:r>
      <w:r w:rsidRPr="00D247E9">
        <w:rPr>
          <w:rFonts w:eastAsia="Arial" w:cs="Arial"/>
          <w:color w:val="000000" w:themeColor="text1"/>
        </w:rPr>
        <w:t xml:space="preserve"> </w:t>
      </w:r>
      <w:r w:rsidRPr="0032624E">
        <w:rPr>
          <w:rFonts w:eastAsia="Arial" w:cs="Arial"/>
          <w:color w:val="000000" w:themeColor="text1"/>
        </w:rPr>
        <w:t>therefore we assume</w:t>
      </w:r>
      <w:r w:rsidRPr="00D247E9">
        <w:rPr>
          <w:rFonts w:eastAsia="Arial" w:cs="Arial"/>
          <w:color w:val="000000" w:themeColor="text1"/>
        </w:rPr>
        <w:t xml:space="preserve"> that all millers are using E170 grade calcium carbonate to fortify their flour</w:t>
      </w:r>
      <w:r w:rsidR="00B56913" w:rsidRPr="00D247E9">
        <w:rPr>
          <w:rFonts w:eastAsia="Arial" w:cs="Arial"/>
          <w:color w:val="000000" w:themeColor="text1"/>
        </w:rPr>
        <w:t xml:space="preserve"> (A40)</w:t>
      </w:r>
      <w:r w:rsidRPr="00D247E9">
        <w:rPr>
          <w:rFonts w:eastAsia="Arial" w:cs="Arial"/>
          <w:color w:val="000000" w:themeColor="text1"/>
        </w:rPr>
        <w:t>. Consequently, the proposed removal of the existing calcium carbonate criteria is not expected to result in any changes to miller’s fortification costs.</w:t>
      </w:r>
    </w:p>
    <w:p w14:paraId="66634963" w14:textId="77777777" w:rsidR="003974CB" w:rsidRDefault="003974CB" w:rsidP="00175397">
      <w:pPr>
        <w:rPr>
          <w:rFonts w:eastAsia="Arial" w:cs="Arial"/>
          <w:color w:val="000000" w:themeColor="text1"/>
        </w:rPr>
      </w:pPr>
    </w:p>
    <w:p w14:paraId="36B4E92F" w14:textId="56638B09" w:rsidR="007B6812" w:rsidRDefault="007B6812" w:rsidP="00175397">
      <w:pPr>
        <w:rPr>
          <w:rFonts w:eastAsia="Arial" w:cs="Arial"/>
          <w:color w:val="000000" w:themeColor="text1"/>
        </w:rPr>
      </w:pPr>
      <w:r>
        <w:rPr>
          <w:rFonts w:eastAsia="Arial" w:cs="Arial"/>
          <w:color w:val="000000" w:themeColor="text1"/>
        </w:rPr>
        <w:t>Note that i</w:t>
      </w:r>
      <w:r w:rsidR="003974CB">
        <w:rPr>
          <w:rFonts w:eastAsia="Arial" w:cs="Arial"/>
          <w:color w:val="000000" w:themeColor="text1"/>
        </w:rPr>
        <w:t xml:space="preserve">f there </w:t>
      </w:r>
      <w:r w:rsidR="00B77EF2">
        <w:rPr>
          <w:rFonts w:eastAsia="Arial" w:cs="Arial"/>
          <w:color w:val="000000" w:themeColor="text1"/>
        </w:rPr>
        <w:t xml:space="preserve">were more significant amounts of calcium carbonate produced in the UK, the change in requirements would lead to an </w:t>
      </w:r>
      <w:r>
        <w:rPr>
          <w:rFonts w:eastAsia="Arial" w:cs="Arial"/>
          <w:color w:val="000000" w:themeColor="text1"/>
        </w:rPr>
        <w:t xml:space="preserve">additional </w:t>
      </w:r>
      <w:r w:rsidR="00B77EF2">
        <w:rPr>
          <w:rFonts w:eastAsia="Arial" w:cs="Arial"/>
          <w:color w:val="000000" w:themeColor="text1"/>
        </w:rPr>
        <w:t>indirect cost</w:t>
      </w:r>
      <w:r w:rsidR="00373FC7">
        <w:rPr>
          <w:rFonts w:eastAsia="Arial" w:cs="Arial"/>
          <w:color w:val="000000" w:themeColor="text1"/>
        </w:rPr>
        <w:t>. UK supplied calcium would no longer meet the new standards unless the composition of the product was changed, which is difficult to do as it would involve changing the chemical makeup of the calcium carbonate.</w:t>
      </w:r>
    </w:p>
    <w:p w14:paraId="3DD94422" w14:textId="76143FBE" w:rsidR="007B6812" w:rsidRDefault="27540A86" w:rsidP="00DA0433">
      <w:pPr>
        <w:pStyle w:val="Heading2"/>
        <w:rPr>
          <w:rFonts w:eastAsia="Arial"/>
        </w:rPr>
      </w:pPr>
      <w:r>
        <w:t>Option 4</w:t>
      </w:r>
    </w:p>
    <w:p w14:paraId="40E27289" w14:textId="1779C2DA" w:rsidR="007B79D0" w:rsidRDefault="00542586" w:rsidP="00492345">
      <w:r>
        <w:t xml:space="preserve">No additional costs have been </w:t>
      </w:r>
      <w:r w:rsidR="00E345A5">
        <w:t>calculated</w:t>
      </w:r>
      <w:r>
        <w:t xml:space="preserve"> </w:t>
      </w:r>
      <w:r w:rsidR="00703665">
        <w:t>and monetised i</w:t>
      </w:r>
      <w:r>
        <w:t>n addition to those in Option</w:t>
      </w:r>
      <w:r w:rsidR="00B212FD">
        <w:t>s</w:t>
      </w:r>
      <w:r>
        <w:t xml:space="preserve"> 2 and 3.</w:t>
      </w:r>
    </w:p>
    <w:p w14:paraId="373AFF14" w14:textId="744CF556" w:rsidR="00F77AC9" w:rsidRPr="00F77AC9" w:rsidRDefault="0A17DA8D" w:rsidP="00DA0433">
      <w:pPr>
        <w:pStyle w:val="Heading2"/>
        <w:rPr>
          <w:rFonts w:eastAsia="Arial"/>
        </w:rPr>
      </w:pPr>
      <w:r w:rsidRPr="3C6AB4A7">
        <w:rPr>
          <w:rFonts w:eastAsia="Arial"/>
        </w:rPr>
        <w:t>Option 5</w:t>
      </w:r>
    </w:p>
    <w:p w14:paraId="5E76F508" w14:textId="58746728" w:rsidR="0075796A" w:rsidRDefault="43E626C8" w:rsidP="00F77AC9">
      <w:pPr>
        <w:pStyle w:val="Heading3"/>
      </w:pPr>
      <w:r>
        <w:t>Familiarisation</w:t>
      </w:r>
      <w:r w:rsidR="38FA5045">
        <w:t xml:space="preserve"> costs</w:t>
      </w:r>
    </w:p>
    <w:p w14:paraId="7BF46857" w14:textId="1CA1D7CD" w:rsidR="0075796A" w:rsidRPr="0075796A" w:rsidRDefault="0075796A" w:rsidP="0075796A">
      <w:r>
        <w:t xml:space="preserve">We expect </w:t>
      </w:r>
      <w:r w:rsidRPr="00D247E9">
        <w:t>the familiarisation costs as described in Option</w:t>
      </w:r>
      <w:r w:rsidR="002B514F" w:rsidRPr="00D247E9">
        <w:t xml:space="preserve"> 2</w:t>
      </w:r>
      <w:r w:rsidRPr="00D247E9">
        <w:t xml:space="preserve"> to be similar to those in Option </w:t>
      </w:r>
      <w:r w:rsidR="002B514F" w:rsidRPr="00D247E9">
        <w:t>5</w:t>
      </w:r>
      <w:r w:rsidRPr="00D247E9">
        <w:t xml:space="preserve"> and do not anticipate any additional costs (for either businesses or enforcement authorities).</w:t>
      </w:r>
      <w:r w:rsidR="002B514F" w:rsidRPr="00D247E9">
        <w:t xml:space="preserve"> We assume here that small millers – even if they </w:t>
      </w:r>
      <w:r w:rsidR="008E19F4" w:rsidRPr="00D247E9">
        <w:t>are now exempt for fortifying NWFF – would still need to familiarise themselves with</w:t>
      </w:r>
      <w:r w:rsidR="008E19F4">
        <w:t xml:space="preserve"> the regulations</w:t>
      </w:r>
      <w:r w:rsidR="00DC12D6">
        <w:t xml:space="preserve"> (A41)</w:t>
      </w:r>
      <w:r w:rsidR="008E19F4">
        <w:t>.</w:t>
      </w:r>
    </w:p>
    <w:p w14:paraId="7113959C" w14:textId="4BA78596" w:rsidR="00C449FD" w:rsidRDefault="00C449FD" w:rsidP="00F77AC9"/>
    <w:p w14:paraId="7A6B6917" w14:textId="6C1E3C21" w:rsidR="001F312C" w:rsidRDefault="43E626C8" w:rsidP="007B79D0">
      <w:pPr>
        <w:pStyle w:val="Heading3"/>
      </w:pPr>
      <w:r>
        <w:t>Fortification costs</w:t>
      </w:r>
    </w:p>
    <w:p w14:paraId="18F62D77" w14:textId="5AF33CC9" w:rsidR="007B79D0" w:rsidRDefault="00C8444B" w:rsidP="00492345">
      <w:r w:rsidRPr="0006603D">
        <w:t xml:space="preserve">Due to the </w:t>
      </w:r>
      <w:r w:rsidR="00231F04" w:rsidRPr="0006603D">
        <w:t>small</w:t>
      </w:r>
      <w:r w:rsidR="00400622" w:rsidRPr="0006603D">
        <w:t>-scale</w:t>
      </w:r>
      <w:r w:rsidR="00231F04" w:rsidRPr="0006603D">
        <w:t xml:space="preserve"> miller exemption, a proportion of millers are now exempt from fortifying their flour. </w:t>
      </w:r>
      <w:r w:rsidR="00703F69" w:rsidRPr="0006603D">
        <w:t xml:space="preserve">This means that these millers </w:t>
      </w:r>
      <w:r w:rsidR="00BE3AE7" w:rsidRPr="0006603D">
        <w:t xml:space="preserve">could </w:t>
      </w:r>
      <w:r w:rsidR="00703F69" w:rsidRPr="0006603D">
        <w:t>now face reduced fortification costs</w:t>
      </w:r>
      <w:r w:rsidR="00767CC7" w:rsidRPr="0006603D">
        <w:t xml:space="preserve">. </w:t>
      </w:r>
      <w:r w:rsidR="007A7B84" w:rsidRPr="0006603D">
        <w:t xml:space="preserve">As noted earlier, </w:t>
      </w:r>
      <w:r w:rsidR="00BA0FEB" w:rsidRPr="0006603D">
        <w:t>we assume that this does not impact the estimated benefits calculated in Annex I.</w:t>
      </w:r>
      <w:r w:rsidR="00FE04AA" w:rsidRPr="0006603D">
        <w:t xml:space="preserve"> For the purposes of this analysis, </w:t>
      </w:r>
      <w:r w:rsidR="00FE04AA" w:rsidRPr="007B65CE">
        <w:t>we assume</w:t>
      </w:r>
      <w:r w:rsidR="00FE04AA" w:rsidRPr="0006603D">
        <w:t xml:space="preserve"> that all </w:t>
      </w:r>
      <w:r w:rsidR="008944E2" w:rsidRPr="0006603D">
        <w:t xml:space="preserve">the exempted millers are classed as </w:t>
      </w:r>
      <w:r w:rsidR="00FE04AA" w:rsidRPr="0006603D">
        <w:t>‘micro-sized business</w:t>
      </w:r>
      <w:r w:rsidR="008944E2" w:rsidRPr="0006603D">
        <w:t>es</w:t>
      </w:r>
      <w:r w:rsidR="00FE04AA" w:rsidRPr="0006603D">
        <w:t>’ (i.e. they have between zero and nine employees)</w:t>
      </w:r>
      <w:r w:rsidR="00124113" w:rsidRPr="0006603D">
        <w:t xml:space="preserve"> (A42)</w:t>
      </w:r>
      <w:r w:rsidR="00FE04AA" w:rsidRPr="0006603D">
        <w:t>.</w:t>
      </w:r>
      <w:r w:rsidR="00ED356C" w:rsidRPr="0006603D">
        <w:t xml:space="preserve"> ‘Small-scale millers’ in this </w:t>
      </w:r>
      <w:r w:rsidR="00E052C3" w:rsidRPr="0006603D">
        <w:t>Option</w:t>
      </w:r>
      <w:r w:rsidR="00ED356C" w:rsidRPr="0006603D">
        <w:t xml:space="preserve"> </w:t>
      </w:r>
      <w:r w:rsidR="00E9134E" w:rsidRPr="0006603D">
        <w:t xml:space="preserve">is </w:t>
      </w:r>
      <w:r w:rsidR="00ED356C" w:rsidRPr="0006603D">
        <w:t>therefore referring to micro-sized millers by employee size.</w:t>
      </w:r>
    </w:p>
    <w:p w14:paraId="3BC35027" w14:textId="77777777" w:rsidR="00B96EC9" w:rsidRDefault="00B96EC9" w:rsidP="00492345"/>
    <w:p w14:paraId="7E97665C" w14:textId="4F1A8BE6" w:rsidR="008620A7" w:rsidRDefault="0045785A" w:rsidP="00492345">
      <w:r>
        <w:t>During DHSC</w:t>
      </w:r>
      <w:r w:rsidR="005B03EB">
        <w:t xml:space="preserve"> and Defra</w:t>
      </w:r>
      <w:r>
        <w:t>’s engagement with The Traditional Cor</w:t>
      </w:r>
      <w:r w:rsidR="00C15029">
        <w:t>n</w:t>
      </w:r>
      <w:r>
        <w:t>millers Guild</w:t>
      </w:r>
      <w:r w:rsidR="00C15029">
        <w:t xml:space="preserve"> (TCMG)</w:t>
      </w:r>
      <w:r>
        <w:t xml:space="preserve">, </w:t>
      </w:r>
      <w:r w:rsidR="00E812BE">
        <w:t>they estimated that roughly 30% of the flour produced by small-scale millers is NWWF</w:t>
      </w:r>
      <w:r w:rsidR="00125273">
        <w:t xml:space="preserve">. </w:t>
      </w:r>
      <w:r w:rsidR="008620A7">
        <w:t>Given th</w:t>
      </w:r>
      <w:r w:rsidR="005A5471">
        <w:t>is</w:t>
      </w:r>
      <w:r w:rsidR="008620A7">
        <w:t xml:space="preserve"> propensity for these small-scale millers to </w:t>
      </w:r>
      <w:r w:rsidR="006E7385">
        <w:t xml:space="preserve">produce </w:t>
      </w:r>
      <w:r w:rsidR="000911F2">
        <w:t xml:space="preserve">other </w:t>
      </w:r>
      <w:r w:rsidR="00F6110C">
        <w:t xml:space="preserve">non-NWWF </w:t>
      </w:r>
      <w:r w:rsidR="000911F2">
        <w:t xml:space="preserve">products (e.g. </w:t>
      </w:r>
      <w:r w:rsidR="006E7385">
        <w:t>wholemeal and brown flours</w:t>
      </w:r>
      <w:r w:rsidR="000911F2">
        <w:t xml:space="preserve">, </w:t>
      </w:r>
      <w:r w:rsidR="006E7385">
        <w:t xml:space="preserve">including </w:t>
      </w:r>
      <w:r w:rsidR="00F6110C">
        <w:t xml:space="preserve">from </w:t>
      </w:r>
      <w:r w:rsidR="00947D1A">
        <w:t xml:space="preserve">grains </w:t>
      </w:r>
      <w:r w:rsidR="000911F2">
        <w:t>like</w:t>
      </w:r>
      <w:r w:rsidR="00947D1A">
        <w:t xml:space="preserve"> rye or</w:t>
      </w:r>
      <w:r w:rsidR="006E7385">
        <w:t xml:space="preserve"> ancient grain</w:t>
      </w:r>
      <w:r w:rsidR="00947D1A">
        <w:t>s</w:t>
      </w:r>
      <w:r w:rsidR="006E7385">
        <w:t>)</w:t>
      </w:r>
      <w:r w:rsidR="00CD07EE">
        <w:t xml:space="preserve">, using the proportion of employees employed in small-scale millers and </w:t>
      </w:r>
      <w:r w:rsidR="00670057">
        <w:t xml:space="preserve">multiplying </w:t>
      </w:r>
      <w:r w:rsidR="00CD07EE">
        <w:t>this</w:t>
      </w:r>
      <w:r w:rsidR="004A4292">
        <w:t xml:space="preserve"> </w:t>
      </w:r>
      <w:r w:rsidR="00670057">
        <w:t xml:space="preserve">by </w:t>
      </w:r>
      <w:r w:rsidR="00CD07EE">
        <w:t xml:space="preserve">total NWWF production (as in </w:t>
      </w:r>
      <w:r w:rsidR="00CD07EE">
        <w:fldChar w:fldCharType="begin"/>
      </w:r>
      <w:r w:rsidR="00CD07EE">
        <w:instrText xml:space="preserve"> REF _Ref164932599 \r \h </w:instrText>
      </w:r>
      <w:r w:rsidR="00CD07EE">
        <w:fldChar w:fldCharType="separate"/>
      </w:r>
      <w:r w:rsidR="00115CF7">
        <w:t>17.1.4</w:t>
      </w:r>
      <w:r w:rsidR="00CD07EE">
        <w:fldChar w:fldCharType="end"/>
      </w:r>
      <w:r w:rsidR="00CD07EE">
        <w:t>)</w:t>
      </w:r>
      <w:r>
        <w:t xml:space="preserve"> is likely to vastly overestimate the production of NWWF from small-scale </w:t>
      </w:r>
      <w:r w:rsidRPr="4853D327">
        <w:t>millers.</w:t>
      </w:r>
      <w:r w:rsidR="00B22885" w:rsidRPr="4853D327">
        <w:rPr>
          <w:rStyle w:val="FootnoteReference"/>
          <w:rFonts w:asciiTheme="minorHAnsi" w:hAnsiTheme="minorHAnsi" w:cstheme="minorBidi"/>
          <w:sz w:val="24"/>
        </w:rPr>
        <w:footnoteReference w:id="27"/>
      </w:r>
    </w:p>
    <w:p w14:paraId="2D1A16DB" w14:textId="77777777" w:rsidR="00C87500" w:rsidRDefault="00C87500" w:rsidP="00492345"/>
    <w:p w14:paraId="6C31DFBC" w14:textId="77777777" w:rsidR="007E1F49" w:rsidRDefault="007E1F49" w:rsidP="00A06519"/>
    <w:p w14:paraId="3B3175A1" w14:textId="77777777" w:rsidR="007E1F49" w:rsidRDefault="007E1F49" w:rsidP="00A06519"/>
    <w:p w14:paraId="3D053540" w14:textId="77777777" w:rsidR="007E1F49" w:rsidRDefault="007E1F49" w:rsidP="00A06519"/>
    <w:p w14:paraId="0FA2D728" w14:textId="77777777" w:rsidR="007E1F49" w:rsidRDefault="007E1F49" w:rsidP="00A06519"/>
    <w:p w14:paraId="20B40D92" w14:textId="77777777" w:rsidR="007E1F49" w:rsidRDefault="007E1F49" w:rsidP="00A06519"/>
    <w:p w14:paraId="6B625BCA" w14:textId="77777777" w:rsidR="007E1F49" w:rsidRDefault="007E1F49" w:rsidP="00A06519"/>
    <w:p w14:paraId="354BB53A" w14:textId="77777777" w:rsidR="007E1F49" w:rsidRDefault="007E1F49" w:rsidP="00A06519"/>
    <w:p w14:paraId="6BF2E26D" w14:textId="77777777" w:rsidR="007E1F49" w:rsidRDefault="007E1F49" w:rsidP="00A06519"/>
    <w:p w14:paraId="7F668425" w14:textId="77777777" w:rsidR="007E1F49" w:rsidRDefault="007E1F49" w:rsidP="00A06519"/>
    <w:p w14:paraId="64B7CBC9" w14:textId="77777777" w:rsidR="007E1F49" w:rsidRDefault="007E1F49" w:rsidP="00A06519"/>
    <w:p w14:paraId="19D7AA45" w14:textId="77777777" w:rsidR="007E1F49" w:rsidRDefault="007E1F49" w:rsidP="00A06519"/>
    <w:p w14:paraId="39F1DE37" w14:textId="77777777" w:rsidR="007E1F49" w:rsidRDefault="007E1F49" w:rsidP="00A06519"/>
    <w:p w14:paraId="3570930F" w14:textId="01ABE160" w:rsidR="00107949" w:rsidRDefault="000C39D6" w:rsidP="00A06519">
      <w:r>
        <w:t>TCMG</w:t>
      </w:r>
      <w:r w:rsidR="00B96EC9">
        <w:t xml:space="preserve"> estimate that </w:t>
      </w:r>
      <w:r w:rsidR="00DD6D45">
        <w:t>roughly</w:t>
      </w:r>
      <w:r w:rsidR="0020408F">
        <w:t xml:space="preserve"> 700 tonnes of </w:t>
      </w:r>
      <w:r w:rsidR="0020408F" w:rsidRPr="00016519">
        <w:t>NWWF is produced annually by small</w:t>
      </w:r>
      <w:r w:rsidR="00E81296" w:rsidRPr="00016519">
        <w:t>-</w:t>
      </w:r>
      <w:r w:rsidR="0020408F" w:rsidRPr="00016519">
        <w:t>scale millers in the UK.</w:t>
      </w:r>
      <w:r w:rsidR="00A06519" w:rsidRPr="00016519">
        <w:t xml:space="preserve"> </w:t>
      </w:r>
      <w:r w:rsidR="00180389" w:rsidRPr="00016519">
        <w:t>Given IBDR data for 2022 reports Scotland as having five micro-sized millers</w:t>
      </w:r>
      <w:r w:rsidR="00631CF2" w:rsidRPr="00016519">
        <w:t xml:space="preserve">, and the UK </w:t>
      </w:r>
      <w:r w:rsidR="007719A9" w:rsidRPr="00016519">
        <w:t xml:space="preserve">as having 50 (see </w:t>
      </w:r>
      <w:r w:rsidR="007719A9" w:rsidRPr="00016519">
        <w:fldChar w:fldCharType="begin"/>
      </w:r>
      <w:r w:rsidR="007719A9" w:rsidRPr="00016519">
        <w:instrText xml:space="preserve"> REF _Ref146271310 \h </w:instrText>
      </w:r>
      <w:r w:rsidR="00016519">
        <w:instrText xml:space="preserve"> \* MERGEFORMAT </w:instrText>
      </w:r>
      <w:r w:rsidR="007719A9" w:rsidRPr="00016519">
        <w:fldChar w:fldCharType="separate"/>
      </w:r>
      <w:r w:rsidR="00115CF7" w:rsidRPr="00016519">
        <w:t xml:space="preserve">Table </w:t>
      </w:r>
      <w:r w:rsidR="00115CF7" w:rsidRPr="00016519">
        <w:rPr>
          <w:noProof/>
        </w:rPr>
        <w:t>24</w:t>
      </w:r>
      <w:r w:rsidR="007719A9" w:rsidRPr="00016519">
        <w:fldChar w:fldCharType="end"/>
      </w:r>
      <w:r w:rsidR="007719A9" w:rsidRPr="00016519">
        <w:t>), we assume 10% of these 700 tonnes are produced in Scotland</w:t>
      </w:r>
      <w:r w:rsidR="00A73FDB" w:rsidRPr="00016519">
        <w:t xml:space="preserve"> (A42)</w:t>
      </w:r>
      <w:r w:rsidR="007719A9" w:rsidRPr="00016519">
        <w:t>.</w:t>
      </w:r>
      <w:r w:rsidR="00C07D17" w:rsidRPr="00016519">
        <w:t xml:space="preserve"> </w:t>
      </w:r>
      <w:r w:rsidR="00107949" w:rsidRPr="00016519">
        <w:t xml:space="preserve">In order to construct a low and high estimate, we </w:t>
      </w:r>
      <w:r w:rsidR="0054159D" w:rsidRPr="00016519">
        <w:t xml:space="preserve">assume there are </w:t>
      </w:r>
      <w:r w:rsidR="00EF7EC5" w:rsidRPr="00016519">
        <w:t xml:space="preserve">between </w:t>
      </w:r>
      <w:r w:rsidR="0054159D" w:rsidRPr="00016519">
        <w:t>three or seven micro-sized millers in</w:t>
      </w:r>
      <w:r w:rsidR="0054159D">
        <w:t xml:space="preserve"> Scotland</w:t>
      </w:r>
      <w:r w:rsidR="00EF7FED">
        <w:t xml:space="preserve"> (similarly to </w:t>
      </w:r>
      <w:r w:rsidR="00D93020">
        <w:fldChar w:fldCharType="begin"/>
      </w:r>
      <w:r w:rsidR="00D93020">
        <w:instrText xml:space="preserve"> REF _Ref164951481 \h </w:instrText>
      </w:r>
      <w:r w:rsidR="00D93020">
        <w:fldChar w:fldCharType="separate"/>
      </w:r>
      <w:r w:rsidR="00115CF7">
        <w:t xml:space="preserve">Table </w:t>
      </w:r>
      <w:r w:rsidR="00115CF7">
        <w:rPr>
          <w:noProof/>
        </w:rPr>
        <w:t>32</w:t>
      </w:r>
      <w:r w:rsidR="00D93020">
        <w:fldChar w:fldCharType="end"/>
      </w:r>
      <w:r w:rsidR="00D93020">
        <w:t>)</w:t>
      </w:r>
      <w:r w:rsidR="00C07D17">
        <w:t xml:space="preserve">, so between </w:t>
      </w:r>
      <w:r w:rsidR="00983D07">
        <w:t xml:space="preserve">6% and </w:t>
      </w:r>
      <w:r w:rsidR="00192E7B">
        <w:t>14% of total micro-sized millers in the UK</w:t>
      </w:r>
      <w:r w:rsidR="00FA17FF">
        <w:t>. Using these three proportions, we can construct a low, central, and high estimate for the volume of NWWF produced by small-scale millers in Scotland:</w:t>
      </w:r>
    </w:p>
    <w:p w14:paraId="68F469C4" w14:textId="5CB1E23D" w:rsidR="00E93943" w:rsidRPr="007F7B64" w:rsidRDefault="00E93943" w:rsidP="00563078"/>
    <w:p w14:paraId="50B4A3AD" w14:textId="6AC08799" w:rsidR="0079075B" w:rsidRPr="007F7B64" w:rsidRDefault="0079075B" w:rsidP="009403B2">
      <w:pPr>
        <w:pStyle w:val="Caption"/>
        <w:keepNext/>
        <w:rPr>
          <w:color w:val="auto"/>
        </w:rPr>
      </w:pPr>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41</w:t>
      </w:r>
      <w:r w:rsidRPr="007F7B64">
        <w:rPr>
          <w:color w:val="auto"/>
        </w:rPr>
        <w:fldChar w:fldCharType="end"/>
      </w:r>
      <w:r w:rsidRPr="007F7B64">
        <w:rPr>
          <w:color w:val="auto"/>
        </w:rPr>
        <w:t xml:space="preserve">. </w:t>
      </w:r>
      <w:r w:rsidR="001901C6" w:rsidRPr="007F7B64">
        <w:rPr>
          <w:color w:val="auto"/>
        </w:rPr>
        <w:t xml:space="preserve">Estimated annual fortification cost savings </w:t>
      </w:r>
      <w:r w:rsidR="00911CBE" w:rsidRPr="007F7B64">
        <w:rPr>
          <w:color w:val="auto"/>
        </w:rPr>
        <w:t>(</w:t>
      </w:r>
      <w:r w:rsidR="001901C6" w:rsidRPr="007F7B64">
        <w:rPr>
          <w:color w:val="auto"/>
        </w:rPr>
        <w:t>Option 5</w:t>
      </w:r>
      <w:r w:rsidR="00911CBE" w:rsidRPr="007F7B64">
        <w:rPr>
          <w:color w:val="auto"/>
        </w:rPr>
        <w:t>)</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3250"/>
        <w:gridCol w:w="3247"/>
        <w:gridCol w:w="3249"/>
      </w:tblGrid>
      <w:tr w:rsidR="00FB7381" w:rsidRPr="00024663" w14:paraId="583CBF93" w14:textId="77777777" w:rsidTr="009403B2">
        <w:tc>
          <w:tcPr>
            <w:tcW w:w="1667" w:type="pct"/>
            <w:vMerge w:val="restart"/>
            <w:tcBorders>
              <w:top w:val="single" w:sz="4" w:space="0" w:color="auto"/>
            </w:tcBorders>
          </w:tcPr>
          <w:p w14:paraId="119FD6B2" w14:textId="77777777" w:rsidR="00FB7381" w:rsidRPr="00024663" w:rsidRDefault="00FB7381" w:rsidP="006F1789">
            <w:pPr>
              <w:rPr>
                <w:b/>
                <w:bCs/>
              </w:rPr>
            </w:pPr>
            <w:r w:rsidRPr="00024663">
              <w:rPr>
                <w:b/>
                <w:bCs/>
              </w:rPr>
              <w:t>Estimate</w:t>
            </w:r>
          </w:p>
        </w:tc>
        <w:tc>
          <w:tcPr>
            <w:tcW w:w="1666" w:type="pct"/>
            <w:tcBorders>
              <w:top w:val="single" w:sz="4" w:space="0" w:color="auto"/>
              <w:bottom w:val="nil"/>
            </w:tcBorders>
          </w:tcPr>
          <w:p w14:paraId="3BFC1FDD" w14:textId="6D7D8A1D" w:rsidR="00FB7381" w:rsidRPr="00024663" w:rsidRDefault="00FB7381" w:rsidP="006F1789">
            <w:pPr>
              <w:rPr>
                <w:b/>
                <w:bCs/>
              </w:rPr>
            </w:pPr>
            <w:r>
              <w:rPr>
                <w:b/>
                <w:bCs/>
              </w:rPr>
              <w:t>Estimated NWWF production from small-scale millers</w:t>
            </w:r>
          </w:p>
        </w:tc>
        <w:tc>
          <w:tcPr>
            <w:tcW w:w="1667" w:type="pct"/>
            <w:tcBorders>
              <w:top w:val="single" w:sz="4" w:space="0" w:color="auto"/>
              <w:bottom w:val="nil"/>
            </w:tcBorders>
          </w:tcPr>
          <w:p w14:paraId="2A384EA0" w14:textId="58D0C1CF" w:rsidR="00FB7381" w:rsidRDefault="00FB7381" w:rsidP="006F1789">
            <w:pPr>
              <w:rPr>
                <w:b/>
                <w:bCs/>
              </w:rPr>
            </w:pPr>
            <w:r w:rsidRPr="00024663">
              <w:rPr>
                <w:b/>
                <w:bCs/>
              </w:rPr>
              <w:t xml:space="preserve">Estimated </w:t>
            </w:r>
            <w:r w:rsidRPr="003D03A6">
              <w:rPr>
                <w:b/>
                <w:bCs/>
                <w:u w:val="single"/>
              </w:rPr>
              <w:t>saved</w:t>
            </w:r>
            <w:r>
              <w:rPr>
                <w:b/>
                <w:bCs/>
              </w:rPr>
              <w:t xml:space="preserve"> annual</w:t>
            </w:r>
            <w:r w:rsidRPr="00024663">
              <w:rPr>
                <w:b/>
                <w:bCs/>
              </w:rPr>
              <w:t xml:space="preserve"> </w:t>
            </w:r>
            <w:r>
              <w:rPr>
                <w:b/>
                <w:bCs/>
              </w:rPr>
              <w:t>Scottish fortification cost</w:t>
            </w:r>
          </w:p>
        </w:tc>
      </w:tr>
      <w:tr w:rsidR="00FB7381" w:rsidRPr="00026B23" w14:paraId="6EA4D2BE" w14:textId="77777777" w:rsidTr="009403B2">
        <w:tc>
          <w:tcPr>
            <w:tcW w:w="1667" w:type="pct"/>
            <w:vMerge/>
            <w:tcBorders>
              <w:bottom w:val="single" w:sz="4" w:space="0" w:color="auto"/>
            </w:tcBorders>
          </w:tcPr>
          <w:p w14:paraId="2D8E4F2F" w14:textId="77777777" w:rsidR="00FB7381" w:rsidRPr="00024663" w:rsidRDefault="00FB7381" w:rsidP="006F1789">
            <w:pPr>
              <w:rPr>
                <w:b/>
                <w:bCs/>
              </w:rPr>
            </w:pPr>
          </w:p>
        </w:tc>
        <w:tc>
          <w:tcPr>
            <w:tcW w:w="1666" w:type="pct"/>
            <w:tcBorders>
              <w:top w:val="nil"/>
              <w:bottom w:val="single" w:sz="4" w:space="0" w:color="auto"/>
            </w:tcBorders>
          </w:tcPr>
          <w:p w14:paraId="47807D50" w14:textId="6A72FD4D" w:rsidR="00FB7381" w:rsidRPr="00026B23" w:rsidRDefault="00FB7381" w:rsidP="006F1789">
            <w:pPr>
              <w:rPr>
                <w:sz w:val="20"/>
                <w:szCs w:val="20"/>
              </w:rPr>
            </w:pPr>
            <w:r>
              <w:rPr>
                <w:sz w:val="20"/>
                <w:szCs w:val="20"/>
              </w:rPr>
              <w:t>Tonnes</w:t>
            </w:r>
          </w:p>
        </w:tc>
        <w:tc>
          <w:tcPr>
            <w:tcW w:w="1667" w:type="pct"/>
            <w:tcBorders>
              <w:top w:val="nil"/>
              <w:bottom w:val="single" w:sz="4" w:space="0" w:color="auto"/>
            </w:tcBorders>
          </w:tcPr>
          <w:p w14:paraId="67E4BE6A" w14:textId="368F20B4" w:rsidR="00FB7381" w:rsidRDefault="00EB09B3" w:rsidP="006F1789">
            <w:pPr>
              <w:rPr>
                <w:sz w:val="20"/>
                <w:szCs w:val="20"/>
              </w:rPr>
            </w:pPr>
            <w:r>
              <w:rPr>
                <w:sz w:val="20"/>
                <w:szCs w:val="20"/>
              </w:rPr>
              <w:t>£ 2024</w:t>
            </w:r>
          </w:p>
        </w:tc>
      </w:tr>
      <w:tr w:rsidR="00FB7381" w14:paraId="63F12200" w14:textId="77777777" w:rsidTr="009403B2">
        <w:tc>
          <w:tcPr>
            <w:tcW w:w="1667" w:type="pct"/>
            <w:tcBorders>
              <w:top w:val="single" w:sz="4" w:space="0" w:color="auto"/>
            </w:tcBorders>
          </w:tcPr>
          <w:p w14:paraId="4435A8DA" w14:textId="77777777" w:rsidR="00FB7381" w:rsidRDefault="00FB7381" w:rsidP="006F1789">
            <w:r>
              <w:t>Low</w:t>
            </w:r>
          </w:p>
        </w:tc>
        <w:tc>
          <w:tcPr>
            <w:tcW w:w="1666" w:type="pct"/>
            <w:tcBorders>
              <w:top w:val="single" w:sz="4" w:space="0" w:color="auto"/>
            </w:tcBorders>
          </w:tcPr>
          <w:p w14:paraId="599B8757" w14:textId="74051E98" w:rsidR="00FB7381" w:rsidRDefault="005348CC" w:rsidP="006F1789">
            <w:r>
              <w:t>42</w:t>
            </w:r>
          </w:p>
        </w:tc>
        <w:tc>
          <w:tcPr>
            <w:tcW w:w="1667" w:type="pct"/>
            <w:tcBorders>
              <w:top w:val="single" w:sz="4" w:space="0" w:color="auto"/>
            </w:tcBorders>
          </w:tcPr>
          <w:p w14:paraId="31E57E40" w14:textId="114E33A7" w:rsidR="00FB7381" w:rsidRDefault="00CD5565" w:rsidP="006F1789">
            <w:r>
              <w:t>50.40</w:t>
            </w:r>
          </w:p>
        </w:tc>
      </w:tr>
      <w:tr w:rsidR="00FB7381" w14:paraId="4D694236" w14:textId="77777777" w:rsidTr="009403B2">
        <w:tc>
          <w:tcPr>
            <w:tcW w:w="1667" w:type="pct"/>
            <w:tcBorders>
              <w:bottom w:val="nil"/>
            </w:tcBorders>
          </w:tcPr>
          <w:p w14:paraId="34B24573" w14:textId="77777777" w:rsidR="00FB7381" w:rsidRDefault="00FB7381" w:rsidP="006F1789">
            <w:r>
              <w:t>Central</w:t>
            </w:r>
          </w:p>
        </w:tc>
        <w:tc>
          <w:tcPr>
            <w:tcW w:w="1666" w:type="pct"/>
          </w:tcPr>
          <w:p w14:paraId="361F1263" w14:textId="5DD85831" w:rsidR="00FB7381" w:rsidRDefault="00FB7381" w:rsidP="006F1789">
            <w:r>
              <w:t>70</w:t>
            </w:r>
          </w:p>
        </w:tc>
        <w:tc>
          <w:tcPr>
            <w:tcW w:w="1667" w:type="pct"/>
          </w:tcPr>
          <w:p w14:paraId="6B6AD672" w14:textId="111AA364" w:rsidR="00FB7381" w:rsidRDefault="00CD5565" w:rsidP="006F1789">
            <w:r>
              <w:t>84</w:t>
            </w:r>
            <w:r w:rsidR="004F3F32">
              <w:t>.00</w:t>
            </w:r>
          </w:p>
        </w:tc>
      </w:tr>
      <w:tr w:rsidR="00FB7381" w14:paraId="6749FF32" w14:textId="77777777" w:rsidTr="009403B2">
        <w:tc>
          <w:tcPr>
            <w:tcW w:w="1667" w:type="pct"/>
            <w:tcBorders>
              <w:top w:val="nil"/>
              <w:bottom w:val="single" w:sz="4" w:space="0" w:color="auto"/>
            </w:tcBorders>
          </w:tcPr>
          <w:p w14:paraId="5A1DEC5B" w14:textId="77777777" w:rsidR="00FB7381" w:rsidRDefault="00FB7381" w:rsidP="006F1789">
            <w:r>
              <w:t>High</w:t>
            </w:r>
          </w:p>
        </w:tc>
        <w:tc>
          <w:tcPr>
            <w:tcW w:w="1666" w:type="pct"/>
          </w:tcPr>
          <w:p w14:paraId="490137A0" w14:textId="5AF914D6" w:rsidR="00FB7381" w:rsidRDefault="005348CC" w:rsidP="006F1789">
            <w:r>
              <w:t>98</w:t>
            </w:r>
          </w:p>
        </w:tc>
        <w:tc>
          <w:tcPr>
            <w:tcW w:w="1667" w:type="pct"/>
          </w:tcPr>
          <w:p w14:paraId="2DB8FF52" w14:textId="46D5F3A3" w:rsidR="00FB7381" w:rsidRDefault="004F3F32" w:rsidP="006F1789">
            <w:r>
              <w:t>117.60</w:t>
            </w:r>
          </w:p>
        </w:tc>
      </w:tr>
    </w:tbl>
    <w:p w14:paraId="3CCB98D2" w14:textId="77777777" w:rsidR="00E93943" w:rsidRDefault="00E93943" w:rsidP="00563078"/>
    <w:p w14:paraId="4F4C722F" w14:textId="77777777" w:rsidR="00563078" w:rsidRDefault="00563078" w:rsidP="00563078">
      <w:r>
        <w:t>Discounted using the same 10 year appraisal period as before:</w:t>
      </w:r>
    </w:p>
    <w:p w14:paraId="42C55462" w14:textId="77777777" w:rsidR="00563078" w:rsidRDefault="00563078" w:rsidP="00563078"/>
    <w:p w14:paraId="27430F3E" w14:textId="035F2A68" w:rsidR="00563078" w:rsidRPr="007F7B64" w:rsidRDefault="00563078" w:rsidP="00563078">
      <w:pPr>
        <w:pStyle w:val="Caption"/>
        <w:keepNext/>
        <w:rPr>
          <w:color w:val="auto"/>
        </w:rPr>
      </w:pPr>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42</w:t>
      </w:r>
      <w:r w:rsidRPr="007F7B64">
        <w:rPr>
          <w:noProof/>
          <w:color w:val="auto"/>
        </w:rPr>
        <w:fldChar w:fldCharType="end"/>
      </w:r>
      <w:r w:rsidRPr="007F7B64">
        <w:rPr>
          <w:color w:val="auto"/>
        </w:rPr>
        <w:t xml:space="preserve">. Estimated total discounted fortification cost </w:t>
      </w:r>
      <w:r w:rsidR="005D1A8D" w:rsidRPr="007F7B64">
        <w:rPr>
          <w:color w:val="auto"/>
        </w:rPr>
        <w:t xml:space="preserve">savings </w:t>
      </w:r>
      <w:r w:rsidRPr="007F7B64">
        <w:rPr>
          <w:color w:val="auto"/>
        </w:rPr>
        <w:t xml:space="preserve">(Option </w:t>
      </w:r>
      <w:r w:rsidR="003B4529" w:rsidRPr="007F7B64">
        <w:rPr>
          <w:color w:val="auto"/>
        </w:rPr>
        <w:t>5</w:t>
      </w:r>
      <w:r w:rsidRPr="007F7B64">
        <w:rPr>
          <w:color w:val="auto"/>
        </w:rPr>
        <w:t>)</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62"/>
        <w:gridCol w:w="3481"/>
        <w:gridCol w:w="3403"/>
      </w:tblGrid>
      <w:tr w:rsidR="00563078" w14:paraId="462EEFCF" w14:textId="77777777" w:rsidTr="00F9289B">
        <w:tc>
          <w:tcPr>
            <w:tcW w:w="1468" w:type="pct"/>
            <w:tcBorders>
              <w:top w:val="single" w:sz="4" w:space="0" w:color="auto"/>
              <w:bottom w:val="nil"/>
            </w:tcBorders>
          </w:tcPr>
          <w:p w14:paraId="52AC769E" w14:textId="77777777" w:rsidR="00563078" w:rsidRPr="00024663" w:rsidRDefault="00563078" w:rsidP="00F9289B">
            <w:pPr>
              <w:rPr>
                <w:b/>
                <w:bCs/>
              </w:rPr>
            </w:pPr>
            <w:r w:rsidRPr="00024663">
              <w:rPr>
                <w:b/>
                <w:bCs/>
              </w:rPr>
              <w:t>Estimate</w:t>
            </w:r>
          </w:p>
        </w:tc>
        <w:tc>
          <w:tcPr>
            <w:tcW w:w="1786" w:type="pct"/>
            <w:tcBorders>
              <w:top w:val="single" w:sz="4" w:space="0" w:color="auto"/>
              <w:bottom w:val="nil"/>
            </w:tcBorders>
          </w:tcPr>
          <w:p w14:paraId="3D4F74F9" w14:textId="7AE399BB" w:rsidR="00563078" w:rsidRPr="00024663" w:rsidRDefault="00563078" w:rsidP="00F9289B">
            <w:pPr>
              <w:rPr>
                <w:b/>
                <w:bCs/>
              </w:rPr>
            </w:pPr>
            <w:r w:rsidRPr="00024663">
              <w:rPr>
                <w:b/>
                <w:bCs/>
              </w:rPr>
              <w:t xml:space="preserve">Estimated </w:t>
            </w:r>
            <w:r w:rsidRPr="003D03A6">
              <w:rPr>
                <w:b/>
                <w:bCs/>
                <w:u w:val="single"/>
              </w:rPr>
              <w:t>saved</w:t>
            </w:r>
            <w:r>
              <w:rPr>
                <w:b/>
                <w:bCs/>
              </w:rPr>
              <w:t xml:space="preserve"> annual</w:t>
            </w:r>
            <w:r w:rsidRPr="00024663">
              <w:rPr>
                <w:b/>
                <w:bCs/>
              </w:rPr>
              <w:t xml:space="preserve"> </w:t>
            </w:r>
            <w:r>
              <w:rPr>
                <w:b/>
                <w:bCs/>
              </w:rPr>
              <w:t>Scottish fortification cost</w:t>
            </w:r>
          </w:p>
        </w:tc>
        <w:tc>
          <w:tcPr>
            <w:tcW w:w="1746" w:type="pct"/>
            <w:tcBorders>
              <w:top w:val="single" w:sz="4" w:space="0" w:color="auto"/>
              <w:bottom w:val="nil"/>
            </w:tcBorders>
          </w:tcPr>
          <w:p w14:paraId="2C474BAD" w14:textId="088DA242" w:rsidR="00563078" w:rsidRPr="00024663" w:rsidRDefault="00563078" w:rsidP="00F9289B">
            <w:pPr>
              <w:rPr>
                <w:b/>
                <w:bCs/>
              </w:rPr>
            </w:pPr>
            <w:r w:rsidRPr="00024663">
              <w:rPr>
                <w:b/>
                <w:bCs/>
              </w:rPr>
              <w:t xml:space="preserve">Estimated </w:t>
            </w:r>
            <w:r w:rsidRPr="003D03A6">
              <w:rPr>
                <w:b/>
                <w:bCs/>
                <w:u w:val="single"/>
              </w:rPr>
              <w:t>saved</w:t>
            </w:r>
            <w:r>
              <w:rPr>
                <w:b/>
                <w:bCs/>
              </w:rPr>
              <w:t xml:space="preserve"> total discounted</w:t>
            </w:r>
            <w:r w:rsidRPr="00024663">
              <w:rPr>
                <w:b/>
                <w:bCs/>
              </w:rPr>
              <w:t xml:space="preserve"> </w:t>
            </w:r>
            <w:r>
              <w:rPr>
                <w:b/>
                <w:bCs/>
              </w:rPr>
              <w:t>Scottish fortification cost</w:t>
            </w:r>
          </w:p>
        </w:tc>
      </w:tr>
      <w:tr w:rsidR="00563078" w14:paraId="568C1BA3" w14:textId="77777777" w:rsidTr="00F9289B">
        <w:tc>
          <w:tcPr>
            <w:tcW w:w="1468" w:type="pct"/>
            <w:tcBorders>
              <w:top w:val="nil"/>
              <w:bottom w:val="single" w:sz="4" w:space="0" w:color="auto"/>
            </w:tcBorders>
          </w:tcPr>
          <w:p w14:paraId="11B2A860" w14:textId="77777777" w:rsidR="00563078" w:rsidRPr="00024663" w:rsidRDefault="00563078" w:rsidP="00F9289B">
            <w:pPr>
              <w:rPr>
                <w:b/>
                <w:bCs/>
              </w:rPr>
            </w:pPr>
          </w:p>
        </w:tc>
        <w:tc>
          <w:tcPr>
            <w:tcW w:w="1786" w:type="pct"/>
            <w:tcBorders>
              <w:top w:val="nil"/>
              <w:bottom w:val="single" w:sz="4" w:space="0" w:color="auto"/>
            </w:tcBorders>
          </w:tcPr>
          <w:p w14:paraId="0DF22BFE" w14:textId="77777777" w:rsidR="00563078" w:rsidRPr="00026B23" w:rsidRDefault="00563078" w:rsidP="00F9289B">
            <w:pPr>
              <w:rPr>
                <w:sz w:val="20"/>
                <w:szCs w:val="20"/>
              </w:rPr>
            </w:pPr>
            <w:r>
              <w:rPr>
                <w:sz w:val="20"/>
                <w:szCs w:val="20"/>
              </w:rPr>
              <w:t>2024 prices</w:t>
            </w:r>
          </w:p>
        </w:tc>
        <w:tc>
          <w:tcPr>
            <w:tcW w:w="1746" w:type="pct"/>
            <w:tcBorders>
              <w:top w:val="nil"/>
              <w:bottom w:val="single" w:sz="4" w:space="0" w:color="auto"/>
            </w:tcBorders>
          </w:tcPr>
          <w:p w14:paraId="1E8E5CD5" w14:textId="77777777" w:rsidR="00563078" w:rsidRPr="00026B23" w:rsidRDefault="00563078" w:rsidP="00F9289B">
            <w:pPr>
              <w:rPr>
                <w:sz w:val="20"/>
                <w:szCs w:val="20"/>
              </w:rPr>
            </w:pPr>
            <w:r>
              <w:rPr>
                <w:sz w:val="20"/>
                <w:szCs w:val="20"/>
              </w:rPr>
              <w:t>2024 prices</w:t>
            </w:r>
          </w:p>
        </w:tc>
      </w:tr>
      <w:tr w:rsidR="00B00C75" w14:paraId="3EA3BB25" w14:textId="77777777" w:rsidTr="00F9289B">
        <w:tc>
          <w:tcPr>
            <w:tcW w:w="1468" w:type="pct"/>
            <w:tcBorders>
              <w:top w:val="single" w:sz="4" w:space="0" w:color="auto"/>
            </w:tcBorders>
          </w:tcPr>
          <w:p w14:paraId="580D2843" w14:textId="77777777" w:rsidR="00B00C75" w:rsidRDefault="00B00C75" w:rsidP="00B00C75">
            <w:r>
              <w:t>Low</w:t>
            </w:r>
          </w:p>
        </w:tc>
        <w:tc>
          <w:tcPr>
            <w:tcW w:w="1786" w:type="pct"/>
            <w:tcBorders>
              <w:top w:val="single" w:sz="4" w:space="0" w:color="auto"/>
            </w:tcBorders>
          </w:tcPr>
          <w:p w14:paraId="0BCE6956" w14:textId="7CEDC83C" w:rsidR="00B00C75" w:rsidRDefault="00B00C75" w:rsidP="00B00C75">
            <w:r>
              <w:t>50.40</w:t>
            </w:r>
          </w:p>
        </w:tc>
        <w:tc>
          <w:tcPr>
            <w:tcW w:w="1746" w:type="pct"/>
            <w:tcBorders>
              <w:top w:val="single" w:sz="4" w:space="0" w:color="auto"/>
            </w:tcBorders>
          </w:tcPr>
          <w:p w14:paraId="08ABB74D" w14:textId="4927A5D9" w:rsidR="00B00C75" w:rsidRDefault="00DF6C75" w:rsidP="00B00C75">
            <w:r>
              <w:t>433.83</w:t>
            </w:r>
          </w:p>
        </w:tc>
      </w:tr>
      <w:tr w:rsidR="00B00C75" w14:paraId="21B272DF" w14:textId="77777777" w:rsidTr="00F9289B">
        <w:tc>
          <w:tcPr>
            <w:tcW w:w="1468" w:type="pct"/>
          </w:tcPr>
          <w:p w14:paraId="2A4F60CC" w14:textId="77777777" w:rsidR="00B00C75" w:rsidRDefault="00B00C75" w:rsidP="00B00C75">
            <w:r>
              <w:t>Central</w:t>
            </w:r>
          </w:p>
        </w:tc>
        <w:tc>
          <w:tcPr>
            <w:tcW w:w="1786" w:type="pct"/>
          </w:tcPr>
          <w:p w14:paraId="42412A3B" w14:textId="11126002" w:rsidR="00B00C75" w:rsidRDefault="00B00C75" w:rsidP="00B00C75">
            <w:r>
              <w:t>84.00</w:t>
            </w:r>
          </w:p>
        </w:tc>
        <w:tc>
          <w:tcPr>
            <w:tcW w:w="1746" w:type="pct"/>
          </w:tcPr>
          <w:p w14:paraId="58FDF525" w14:textId="08F9EEF8" w:rsidR="00B00C75" w:rsidRDefault="00224E0E" w:rsidP="00B00C75">
            <w:r>
              <w:t>723.05</w:t>
            </w:r>
          </w:p>
        </w:tc>
      </w:tr>
      <w:tr w:rsidR="00B00C75" w14:paraId="70AE1D78" w14:textId="77777777" w:rsidTr="00F9289B">
        <w:tc>
          <w:tcPr>
            <w:tcW w:w="1468" w:type="pct"/>
          </w:tcPr>
          <w:p w14:paraId="55ED941A" w14:textId="77777777" w:rsidR="00B00C75" w:rsidRDefault="00B00C75" w:rsidP="00B00C75">
            <w:r>
              <w:t>High</w:t>
            </w:r>
          </w:p>
        </w:tc>
        <w:tc>
          <w:tcPr>
            <w:tcW w:w="1786" w:type="pct"/>
          </w:tcPr>
          <w:p w14:paraId="1657810A" w14:textId="0387762B" w:rsidR="00B00C75" w:rsidRDefault="00B00C75" w:rsidP="00B00C75">
            <w:r>
              <w:t>117.60</w:t>
            </w:r>
          </w:p>
        </w:tc>
        <w:tc>
          <w:tcPr>
            <w:tcW w:w="1746" w:type="pct"/>
          </w:tcPr>
          <w:p w14:paraId="35FE1D12" w14:textId="7ECCF4B5" w:rsidR="00B00C75" w:rsidRDefault="00DF6C75" w:rsidP="00B00C75">
            <w:r>
              <w:t>1,012.26</w:t>
            </w:r>
          </w:p>
        </w:tc>
      </w:tr>
    </w:tbl>
    <w:p w14:paraId="62AD6DF1" w14:textId="53D71C5C" w:rsidR="00563078" w:rsidRDefault="00563078" w:rsidP="00563078"/>
    <w:p w14:paraId="2A30E3D4" w14:textId="556FCB8E" w:rsidR="007C62C0" w:rsidRDefault="00563078" w:rsidP="00492345">
      <w:pPr>
        <w:rPr>
          <w:rFonts w:eastAsia="Arial" w:cs="Arial"/>
          <w:color w:val="000000" w:themeColor="text1"/>
        </w:rPr>
      </w:pPr>
      <w:r>
        <w:rPr>
          <w:rFonts w:eastAsia="Arial" w:cs="Arial"/>
          <w:color w:val="000000" w:themeColor="text1"/>
        </w:rPr>
        <w:t xml:space="preserve">These fortification cost savings are in addition to the fortification costs presented in </w:t>
      </w:r>
      <w:r>
        <w:rPr>
          <w:rFonts w:eastAsia="Arial" w:cs="Arial"/>
          <w:color w:val="000000" w:themeColor="text1"/>
        </w:rPr>
        <w:fldChar w:fldCharType="begin"/>
      </w:r>
      <w:r>
        <w:rPr>
          <w:rFonts w:eastAsia="Arial" w:cs="Arial"/>
          <w:color w:val="000000" w:themeColor="text1"/>
        </w:rPr>
        <w:instrText xml:space="preserve"> REF _Ref164932599 \r \h </w:instrText>
      </w:r>
      <w:r>
        <w:rPr>
          <w:rFonts w:eastAsia="Arial" w:cs="Arial"/>
          <w:color w:val="000000" w:themeColor="text1"/>
        </w:rPr>
      </w:r>
      <w:r>
        <w:rPr>
          <w:rFonts w:eastAsia="Arial" w:cs="Arial"/>
          <w:color w:val="000000" w:themeColor="text1"/>
        </w:rPr>
        <w:fldChar w:fldCharType="separate"/>
      </w:r>
      <w:r w:rsidR="00115CF7">
        <w:rPr>
          <w:rFonts w:eastAsia="Arial" w:cs="Arial"/>
          <w:color w:val="000000" w:themeColor="text1"/>
        </w:rPr>
        <w:t>17.1.4</w:t>
      </w:r>
      <w:r>
        <w:rPr>
          <w:rFonts w:eastAsia="Arial" w:cs="Arial"/>
          <w:color w:val="000000" w:themeColor="text1"/>
        </w:rPr>
        <w:fldChar w:fldCharType="end"/>
      </w:r>
      <w:r>
        <w:rPr>
          <w:rFonts w:eastAsia="Arial" w:cs="Arial"/>
          <w:color w:val="000000" w:themeColor="text1"/>
        </w:rPr>
        <w:t xml:space="preserve"> and </w:t>
      </w:r>
      <w:r>
        <w:rPr>
          <w:rFonts w:eastAsia="Arial" w:cs="Arial"/>
          <w:color w:val="000000" w:themeColor="text1"/>
        </w:rPr>
        <w:fldChar w:fldCharType="begin"/>
      </w:r>
      <w:r>
        <w:rPr>
          <w:rFonts w:eastAsia="Arial" w:cs="Arial"/>
          <w:color w:val="000000" w:themeColor="text1"/>
        </w:rPr>
        <w:instrText xml:space="preserve"> REF _Ref164937595 \r \h </w:instrText>
      </w:r>
      <w:r>
        <w:rPr>
          <w:rFonts w:eastAsia="Arial" w:cs="Arial"/>
          <w:color w:val="000000" w:themeColor="text1"/>
        </w:rPr>
      </w:r>
      <w:r>
        <w:rPr>
          <w:rFonts w:eastAsia="Arial" w:cs="Arial"/>
          <w:color w:val="000000" w:themeColor="text1"/>
        </w:rPr>
        <w:fldChar w:fldCharType="separate"/>
      </w:r>
      <w:r w:rsidR="00115CF7">
        <w:rPr>
          <w:rFonts w:eastAsia="Arial" w:cs="Arial"/>
          <w:color w:val="000000" w:themeColor="text1"/>
        </w:rPr>
        <w:t>17.2.2</w:t>
      </w:r>
      <w:r>
        <w:rPr>
          <w:rFonts w:eastAsia="Arial" w:cs="Arial"/>
          <w:color w:val="000000" w:themeColor="text1"/>
        </w:rPr>
        <w:fldChar w:fldCharType="end"/>
      </w:r>
      <w:r>
        <w:rPr>
          <w:rFonts w:eastAsia="Arial" w:cs="Arial"/>
          <w:color w:val="000000" w:themeColor="text1"/>
        </w:rPr>
        <w:t>.</w:t>
      </w:r>
    </w:p>
    <w:p w14:paraId="45C501B0" w14:textId="77777777" w:rsidR="007E1F49" w:rsidRDefault="007E1F49" w:rsidP="00492345"/>
    <w:p w14:paraId="045A14E6" w14:textId="77777777" w:rsidR="008F29A0" w:rsidRDefault="7CC8934C" w:rsidP="008F29A0">
      <w:pPr>
        <w:pStyle w:val="Heading3"/>
      </w:pPr>
      <w:r>
        <w:t>Relabelling and package waste costs</w:t>
      </w:r>
    </w:p>
    <w:p w14:paraId="6F47F18A" w14:textId="78B4310D" w:rsidR="00AA647C" w:rsidRDefault="00BF191E" w:rsidP="00492345">
      <w:r>
        <w:t>Small millers who are currently fortifying their NWWF</w:t>
      </w:r>
      <w:r w:rsidR="00FB6647">
        <w:t xml:space="preserve">, and who choose to no longer do so </w:t>
      </w:r>
      <w:r w:rsidR="00D505AF">
        <w:t xml:space="preserve">given their exemption in </w:t>
      </w:r>
      <w:r w:rsidR="00FB6647">
        <w:t>Option</w:t>
      </w:r>
      <w:r w:rsidR="00A72609">
        <w:t xml:space="preserve"> 5</w:t>
      </w:r>
      <w:r w:rsidR="00FB6647">
        <w:t xml:space="preserve">, will need to </w:t>
      </w:r>
      <w:r w:rsidR="00DF5C8C">
        <w:t>produce new labelling</w:t>
      </w:r>
      <w:r w:rsidR="00C346F2">
        <w:t>. This would involve removing the fortificants from the labelling on the flour they produce currently</w:t>
      </w:r>
      <w:r w:rsidR="00AE7174">
        <w:t xml:space="preserve"> (e.g. calcium).</w:t>
      </w:r>
      <w:r w:rsidR="00981DB2">
        <w:t xml:space="preserve"> </w:t>
      </w:r>
      <w:r w:rsidR="00AA647C">
        <w:t xml:space="preserve">As a result of this labelling change, they </w:t>
      </w:r>
      <w:r w:rsidR="004F640E">
        <w:t xml:space="preserve">could </w:t>
      </w:r>
      <w:r w:rsidR="00AA647C">
        <w:t>also incur package waste costs (depending on when in their relabelling cycle this occurs).</w:t>
      </w:r>
      <w:r w:rsidR="00830AA6">
        <w:t xml:space="preserve"> However, t</w:t>
      </w:r>
      <w:r w:rsidR="00426A7F">
        <w:t xml:space="preserve">his </w:t>
      </w:r>
      <w:r w:rsidR="004F640E">
        <w:t xml:space="preserve">change </w:t>
      </w:r>
      <w:r w:rsidR="00426A7F">
        <w:t>is entirely voluntary and they can align these changes with their existing relabelling cycle. This would minimise, or even nullify, any additional costs incurred as a result of this policy change.</w:t>
      </w:r>
    </w:p>
    <w:p w14:paraId="452CE25F" w14:textId="77777777" w:rsidR="00B43DBC" w:rsidRDefault="00B43DBC" w:rsidP="00492345"/>
    <w:p w14:paraId="42960A1D" w14:textId="77777777" w:rsidR="007E1F49" w:rsidRDefault="007B7502" w:rsidP="00492345">
      <w:r>
        <w:t>Additionally, t</w:t>
      </w:r>
      <w:r w:rsidR="00B43DBC">
        <w:t>he relabelling and package waste costs calculated for all Scottish millers (due to folic acid fortification)</w:t>
      </w:r>
      <w:r w:rsidR="00654470">
        <w:t xml:space="preserve"> already</w:t>
      </w:r>
      <w:r w:rsidR="00B43DBC">
        <w:t xml:space="preserve"> </w:t>
      </w:r>
      <w:r w:rsidR="00BD4D44">
        <w:t xml:space="preserve">include costs incurred by small-scale millers. </w:t>
      </w:r>
    </w:p>
    <w:p w14:paraId="41DFD44E" w14:textId="31DE920F" w:rsidR="00B43DBC" w:rsidRDefault="00BD4D44" w:rsidP="00492345">
      <w:r>
        <w:t>Despite these millers now being exempt from fortifying their flour</w:t>
      </w:r>
      <w:r w:rsidR="00E51889">
        <w:t xml:space="preserve"> </w:t>
      </w:r>
      <w:r w:rsidR="007B7502">
        <w:t xml:space="preserve">with folic acid </w:t>
      </w:r>
      <w:r w:rsidR="00E51889">
        <w:t>under Option 5</w:t>
      </w:r>
      <w:r>
        <w:t>,</w:t>
      </w:r>
      <w:r w:rsidR="00E51889">
        <w:t xml:space="preserve"> they may still </w:t>
      </w:r>
      <w:r w:rsidR="009663E3">
        <w:t xml:space="preserve">incur similar relabelling and package waste costs as </w:t>
      </w:r>
      <w:r w:rsidR="007005DD">
        <w:t xml:space="preserve">explained above. Therefore, the total relabelling and package waste costs calculated for Scotland under Option 2 would be reasonably accurate </w:t>
      </w:r>
      <w:r w:rsidR="00A96F9E">
        <w:t>under Option 5 as well.</w:t>
      </w:r>
    </w:p>
    <w:p w14:paraId="6771282B" w14:textId="77777777" w:rsidR="00AA647C" w:rsidRDefault="00AA647C" w:rsidP="00492345"/>
    <w:p w14:paraId="3DC13CBC" w14:textId="1E08197E" w:rsidR="00736BF5" w:rsidRDefault="007B7502" w:rsidP="00492345">
      <w:r>
        <w:t>As a worst case scenario, we calculate</w:t>
      </w:r>
      <w:r w:rsidR="00654470">
        <w:t xml:space="preserve"> and include</w:t>
      </w:r>
      <w:r>
        <w:t xml:space="preserve"> the </w:t>
      </w:r>
      <w:r w:rsidR="00230F75">
        <w:t>relabelling costs</w:t>
      </w:r>
      <w:r w:rsidR="00511E48">
        <w:t xml:space="preserve"> to small-scale millers</w:t>
      </w:r>
      <w:r w:rsidR="00230F75">
        <w:t>,</w:t>
      </w:r>
      <w:r>
        <w:t xml:space="preserve"> assuming these are entirely additional to existing costs (under the status quo and Option 2).</w:t>
      </w:r>
      <w:r w:rsidR="00230F75">
        <w:t xml:space="preserve"> </w:t>
      </w:r>
      <w:r w:rsidR="00DD7CF0">
        <w:t>W</w:t>
      </w:r>
      <w:r>
        <w:t xml:space="preserve">e </w:t>
      </w:r>
      <w:r w:rsidR="00981DB2">
        <w:t xml:space="preserve">use the same ‘minor change’ relabelling cost as used in </w:t>
      </w:r>
      <w:r w:rsidR="000612AD">
        <w:fldChar w:fldCharType="begin"/>
      </w:r>
      <w:r w:rsidR="000612AD">
        <w:instrText xml:space="preserve"> REF _Ref164944066 \r \h </w:instrText>
      </w:r>
      <w:r w:rsidR="000612AD">
        <w:fldChar w:fldCharType="separate"/>
      </w:r>
      <w:r w:rsidR="00115CF7">
        <w:t>17.1.2</w:t>
      </w:r>
      <w:r w:rsidR="000612AD">
        <w:fldChar w:fldCharType="end"/>
      </w:r>
      <w:r w:rsidR="000612AD">
        <w:t>.</w:t>
      </w:r>
    </w:p>
    <w:p w14:paraId="3593E811" w14:textId="77777777" w:rsidR="007E62FD" w:rsidRDefault="007E62FD" w:rsidP="00492345"/>
    <w:p w14:paraId="3CC0F932" w14:textId="6A7E8695" w:rsidR="007E62FD" w:rsidRDefault="007E62FD" w:rsidP="00EB67FC">
      <w:r w:rsidRPr="00656C17">
        <w:t xml:space="preserve">To estimate the number of products that would require a labelling change (i.e. </w:t>
      </w:r>
      <w:r w:rsidR="009D7C4B" w:rsidRPr="00656C17">
        <w:t xml:space="preserve">SKUs containing </w:t>
      </w:r>
      <w:r w:rsidR="00285470" w:rsidRPr="00656C17">
        <w:t>NWWF produced by small-scale millers)</w:t>
      </w:r>
      <w:r w:rsidR="00D7547E" w:rsidRPr="00656C17">
        <w:t xml:space="preserve">, we </w:t>
      </w:r>
      <w:r w:rsidR="00EB67FC" w:rsidRPr="00656C17">
        <w:t>assume each small-scale miller has one SKU, and that 30% of all SKUs are NWWF (as per TCMG’s estimate that 30% of the total flour miller by small-scale millers’ is NWWF)</w:t>
      </w:r>
      <w:r w:rsidR="00656C17" w:rsidRPr="00656C17">
        <w:t xml:space="preserve"> (A44)</w:t>
      </w:r>
      <w:r w:rsidR="00EB67FC" w:rsidRPr="00656C17">
        <w:t xml:space="preserve">. That leads to </w:t>
      </w:r>
      <w:r w:rsidR="002E5DD0" w:rsidRPr="00656C17">
        <w:t>0.9 to 2.1 SKUs being NWWF. Rounding up to the nearest whole number,</w:t>
      </w:r>
      <w:r w:rsidR="00F21062" w:rsidRPr="00656C17">
        <w:t xml:space="preserve"> </w:t>
      </w:r>
      <w:r w:rsidR="00681B4E" w:rsidRPr="00656C17">
        <w:t>we can estimate the relabelling costs:</w:t>
      </w:r>
    </w:p>
    <w:p w14:paraId="05FCBAC3" w14:textId="1C38E62D" w:rsidR="00C66DCE" w:rsidRDefault="00C66DCE" w:rsidP="00492345"/>
    <w:p w14:paraId="40A05B8B" w14:textId="5697B185" w:rsidR="006519E6" w:rsidRPr="007F7B64" w:rsidRDefault="006519E6" w:rsidP="00D8624C">
      <w:pPr>
        <w:pStyle w:val="Caption"/>
        <w:keepNext/>
        <w:rPr>
          <w:color w:val="auto"/>
        </w:rPr>
      </w:pPr>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43</w:t>
      </w:r>
      <w:r w:rsidRPr="007F7B64">
        <w:rPr>
          <w:color w:val="auto"/>
        </w:rPr>
        <w:fldChar w:fldCharType="end"/>
      </w:r>
      <w:r w:rsidRPr="007F7B64">
        <w:rPr>
          <w:color w:val="auto"/>
        </w:rPr>
        <w:t>. Estimated annual relabelling costs</w:t>
      </w:r>
      <w:r w:rsidR="00650778" w:rsidRPr="007F7B64">
        <w:rPr>
          <w:color w:val="auto"/>
        </w:rPr>
        <w:t xml:space="preserve"> for small-scale millers</w:t>
      </w:r>
      <w:r w:rsidRPr="007F7B64">
        <w:rPr>
          <w:color w:val="auto"/>
        </w:rPr>
        <w:t xml:space="preserve"> (Option 5)</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35"/>
        <w:gridCol w:w="3450"/>
        <w:gridCol w:w="3451"/>
      </w:tblGrid>
      <w:tr w:rsidR="00C66DCE" w14:paraId="3B053813" w14:textId="77777777" w:rsidTr="004C099B">
        <w:tc>
          <w:tcPr>
            <w:tcW w:w="2835" w:type="dxa"/>
            <w:tcBorders>
              <w:top w:val="single" w:sz="4" w:space="0" w:color="auto"/>
              <w:bottom w:val="single" w:sz="4" w:space="0" w:color="auto"/>
            </w:tcBorders>
          </w:tcPr>
          <w:p w14:paraId="11CAFFEE" w14:textId="77777777" w:rsidR="00C66DCE" w:rsidRPr="00024663" w:rsidRDefault="00C66DCE" w:rsidP="006F1789">
            <w:pPr>
              <w:rPr>
                <w:b/>
                <w:bCs/>
              </w:rPr>
            </w:pPr>
            <w:r w:rsidRPr="00024663">
              <w:rPr>
                <w:b/>
                <w:bCs/>
              </w:rPr>
              <w:t>Estimate</w:t>
            </w:r>
          </w:p>
        </w:tc>
        <w:tc>
          <w:tcPr>
            <w:tcW w:w="3450" w:type="dxa"/>
            <w:tcBorders>
              <w:top w:val="single" w:sz="4" w:space="0" w:color="auto"/>
              <w:bottom w:val="single" w:sz="4" w:space="0" w:color="auto"/>
            </w:tcBorders>
          </w:tcPr>
          <w:p w14:paraId="33C917B7" w14:textId="1A4D98F7" w:rsidR="00C66DCE" w:rsidRPr="00024663" w:rsidRDefault="00C66DCE" w:rsidP="006F1789">
            <w:pPr>
              <w:rPr>
                <w:b/>
                <w:bCs/>
              </w:rPr>
            </w:pPr>
            <w:r w:rsidRPr="00024663">
              <w:rPr>
                <w:b/>
                <w:bCs/>
              </w:rPr>
              <w:t xml:space="preserve">Estimated </w:t>
            </w:r>
            <w:r>
              <w:rPr>
                <w:b/>
                <w:bCs/>
              </w:rPr>
              <w:t>Scottish small miller-</w:t>
            </w:r>
            <w:r w:rsidRPr="00024663">
              <w:rPr>
                <w:b/>
                <w:bCs/>
              </w:rPr>
              <w:t>produced SKUs containing NWWF</w:t>
            </w:r>
          </w:p>
        </w:tc>
        <w:tc>
          <w:tcPr>
            <w:tcW w:w="3451" w:type="dxa"/>
            <w:tcBorders>
              <w:top w:val="single" w:sz="4" w:space="0" w:color="auto"/>
              <w:bottom w:val="single" w:sz="4" w:space="0" w:color="auto"/>
            </w:tcBorders>
          </w:tcPr>
          <w:p w14:paraId="449FA18B" w14:textId="5A782144" w:rsidR="00C66DCE" w:rsidRPr="00024663" w:rsidRDefault="00C66DCE" w:rsidP="006F1789">
            <w:pPr>
              <w:rPr>
                <w:b/>
                <w:bCs/>
              </w:rPr>
            </w:pPr>
            <w:r w:rsidRPr="00024663">
              <w:rPr>
                <w:b/>
                <w:bCs/>
              </w:rPr>
              <w:t xml:space="preserve">Estimated </w:t>
            </w:r>
            <w:r w:rsidR="004C099B">
              <w:rPr>
                <w:b/>
                <w:bCs/>
              </w:rPr>
              <w:t xml:space="preserve">total </w:t>
            </w:r>
            <w:r w:rsidR="00B1259A">
              <w:rPr>
                <w:b/>
                <w:bCs/>
              </w:rPr>
              <w:t>S</w:t>
            </w:r>
            <w:r>
              <w:rPr>
                <w:b/>
                <w:bCs/>
              </w:rPr>
              <w:t xml:space="preserve">cottish </w:t>
            </w:r>
            <w:r w:rsidRPr="00024663">
              <w:rPr>
                <w:b/>
                <w:bCs/>
              </w:rPr>
              <w:t xml:space="preserve">relabelling cost, £ </w:t>
            </w:r>
            <w:r>
              <w:rPr>
                <w:b/>
                <w:bCs/>
              </w:rPr>
              <w:t>2024</w:t>
            </w:r>
          </w:p>
        </w:tc>
      </w:tr>
      <w:tr w:rsidR="00C66DCE" w14:paraId="708B4EA3" w14:textId="77777777" w:rsidTr="004C099B">
        <w:tc>
          <w:tcPr>
            <w:tcW w:w="2835" w:type="dxa"/>
            <w:tcBorders>
              <w:top w:val="single" w:sz="4" w:space="0" w:color="auto"/>
            </w:tcBorders>
          </w:tcPr>
          <w:p w14:paraId="5244FDEE" w14:textId="77777777" w:rsidR="00C66DCE" w:rsidRDefault="00C66DCE" w:rsidP="006F1789">
            <w:r>
              <w:t>Low</w:t>
            </w:r>
          </w:p>
        </w:tc>
        <w:tc>
          <w:tcPr>
            <w:tcW w:w="3450" w:type="dxa"/>
            <w:tcBorders>
              <w:top w:val="single" w:sz="4" w:space="0" w:color="auto"/>
            </w:tcBorders>
          </w:tcPr>
          <w:p w14:paraId="3BCE62D0" w14:textId="2C82318F" w:rsidR="00C66DCE" w:rsidRDefault="00461B9A" w:rsidP="006F1789">
            <w:r>
              <w:t>1</w:t>
            </w:r>
          </w:p>
        </w:tc>
        <w:tc>
          <w:tcPr>
            <w:tcW w:w="3451" w:type="dxa"/>
            <w:tcBorders>
              <w:top w:val="single" w:sz="4" w:space="0" w:color="auto"/>
            </w:tcBorders>
          </w:tcPr>
          <w:p w14:paraId="77B186BF" w14:textId="2D028D87" w:rsidR="00C66DCE" w:rsidRDefault="00BC2046" w:rsidP="006F1789">
            <w:r>
              <w:t>2,55</w:t>
            </w:r>
            <w:r w:rsidR="00B451E0">
              <w:t>4</w:t>
            </w:r>
          </w:p>
        </w:tc>
      </w:tr>
      <w:tr w:rsidR="00863B96" w14:paraId="0304E93D" w14:textId="77777777" w:rsidTr="004C099B">
        <w:tc>
          <w:tcPr>
            <w:tcW w:w="2835" w:type="dxa"/>
          </w:tcPr>
          <w:p w14:paraId="2B54A9CB" w14:textId="77777777" w:rsidR="00863B96" w:rsidRDefault="00863B96" w:rsidP="00863B96">
            <w:r>
              <w:t>Central</w:t>
            </w:r>
          </w:p>
        </w:tc>
        <w:tc>
          <w:tcPr>
            <w:tcW w:w="3450" w:type="dxa"/>
          </w:tcPr>
          <w:p w14:paraId="6A029DD8" w14:textId="3BDED098" w:rsidR="00863B96" w:rsidRDefault="00863B96" w:rsidP="00863B96">
            <w:r>
              <w:t>2</w:t>
            </w:r>
          </w:p>
        </w:tc>
        <w:tc>
          <w:tcPr>
            <w:tcW w:w="3451" w:type="dxa"/>
          </w:tcPr>
          <w:p w14:paraId="016E6427" w14:textId="607674A0" w:rsidR="00863B96" w:rsidRDefault="00863B96" w:rsidP="00863B96">
            <w:r>
              <w:t>5,107</w:t>
            </w:r>
          </w:p>
        </w:tc>
      </w:tr>
      <w:tr w:rsidR="00863B96" w14:paraId="389D6C7E" w14:textId="77777777" w:rsidTr="004C099B">
        <w:tc>
          <w:tcPr>
            <w:tcW w:w="2835" w:type="dxa"/>
          </w:tcPr>
          <w:p w14:paraId="6E747E0F" w14:textId="77777777" w:rsidR="00863B96" w:rsidRDefault="00863B96" w:rsidP="00863B96">
            <w:r>
              <w:t>High</w:t>
            </w:r>
          </w:p>
        </w:tc>
        <w:tc>
          <w:tcPr>
            <w:tcW w:w="3450" w:type="dxa"/>
          </w:tcPr>
          <w:p w14:paraId="0614F3EF" w14:textId="6DF52225" w:rsidR="00863B96" w:rsidRDefault="00863B96" w:rsidP="00863B96">
            <w:r>
              <w:t>3</w:t>
            </w:r>
          </w:p>
        </w:tc>
        <w:tc>
          <w:tcPr>
            <w:tcW w:w="3451" w:type="dxa"/>
          </w:tcPr>
          <w:p w14:paraId="6CDEC0F5" w14:textId="3B650AD9" w:rsidR="00863B96" w:rsidRDefault="00863B96" w:rsidP="00863B96">
            <w:r>
              <w:t>7,661</w:t>
            </w:r>
          </w:p>
        </w:tc>
      </w:tr>
    </w:tbl>
    <w:p w14:paraId="4FB66A72" w14:textId="284D3BFD" w:rsidR="00C66DCE" w:rsidRDefault="00C66DCE" w:rsidP="00492345"/>
    <w:p w14:paraId="4D0ECC6B" w14:textId="536B50AF" w:rsidR="00E05952" w:rsidRDefault="0009605F" w:rsidP="00492345">
      <w:r>
        <w:t xml:space="preserve">Given the small-scale millers </w:t>
      </w:r>
      <w:r w:rsidR="00FE7BCB">
        <w:t xml:space="preserve">could </w:t>
      </w:r>
      <w:r>
        <w:t>work these labelling change</w:t>
      </w:r>
      <w:r w:rsidR="00444B23">
        <w:t>s</w:t>
      </w:r>
      <w:r>
        <w:t xml:space="preserve"> into existing </w:t>
      </w:r>
      <w:r w:rsidR="00444B23">
        <w:t xml:space="preserve">package change cycles, we assume there are no additional package waste costs. If we were to use the same estimates and assumptions as above, we </w:t>
      </w:r>
      <w:r w:rsidR="004F640E">
        <w:t xml:space="preserve">could </w:t>
      </w:r>
      <w:r w:rsidR="00AD233A">
        <w:t xml:space="preserve">estimate package waste costs similarly to </w:t>
      </w:r>
      <w:r w:rsidR="00AD233A">
        <w:fldChar w:fldCharType="begin"/>
      </w:r>
      <w:r w:rsidR="00AD233A">
        <w:instrText xml:space="preserve"> REF _Ref165036836 \r \h </w:instrText>
      </w:r>
      <w:r w:rsidR="00AD233A">
        <w:fldChar w:fldCharType="separate"/>
      </w:r>
      <w:r w:rsidR="00115CF7">
        <w:t>17.1.3</w:t>
      </w:r>
      <w:r w:rsidR="00AD233A">
        <w:fldChar w:fldCharType="end"/>
      </w:r>
      <w:r w:rsidR="00FE7BCB">
        <w:t xml:space="preserve"> as follows</w:t>
      </w:r>
      <w:r w:rsidR="00AD233A">
        <w:t>:</w:t>
      </w:r>
    </w:p>
    <w:p w14:paraId="026F154B" w14:textId="2B85A140" w:rsidR="00681B4E" w:rsidRDefault="00681B4E" w:rsidP="00492345"/>
    <w:p w14:paraId="54D9530E" w14:textId="647CC841" w:rsidR="006519E6" w:rsidRPr="007F7B64" w:rsidRDefault="006519E6" w:rsidP="00D8624C">
      <w:pPr>
        <w:pStyle w:val="Caption"/>
        <w:keepNext/>
        <w:rPr>
          <w:color w:val="auto"/>
        </w:rPr>
      </w:pPr>
      <w:r w:rsidRPr="007F7B64">
        <w:rPr>
          <w:color w:val="auto"/>
        </w:rPr>
        <w:t xml:space="preserve">Table </w:t>
      </w:r>
      <w:r w:rsidRPr="007F7B64">
        <w:rPr>
          <w:color w:val="auto"/>
        </w:rPr>
        <w:fldChar w:fldCharType="begin"/>
      </w:r>
      <w:r w:rsidRPr="007F7B64">
        <w:rPr>
          <w:color w:val="auto"/>
        </w:rPr>
        <w:instrText xml:space="preserve"> SEQ Table \* ARABIC </w:instrText>
      </w:r>
      <w:r w:rsidRPr="007F7B64">
        <w:rPr>
          <w:color w:val="auto"/>
        </w:rPr>
        <w:fldChar w:fldCharType="separate"/>
      </w:r>
      <w:r w:rsidR="000E33D5" w:rsidRPr="007F7B64">
        <w:rPr>
          <w:noProof/>
          <w:color w:val="auto"/>
        </w:rPr>
        <w:t>44</w:t>
      </w:r>
      <w:r w:rsidRPr="007F7B64">
        <w:rPr>
          <w:color w:val="auto"/>
        </w:rPr>
        <w:fldChar w:fldCharType="end"/>
      </w:r>
      <w:r w:rsidR="002C3ECC" w:rsidRPr="007F7B64">
        <w:rPr>
          <w:color w:val="auto"/>
        </w:rPr>
        <w:t xml:space="preserve">. Estimated annual package waste costs for small-scale millers </w:t>
      </w:r>
      <w:r w:rsidR="00FE7BCB" w:rsidRPr="007F7B64">
        <w:rPr>
          <w:color w:val="auto"/>
        </w:rPr>
        <w:t xml:space="preserve">(not included) </w:t>
      </w:r>
      <w:r w:rsidR="002C3ECC" w:rsidRPr="007F7B64">
        <w:rPr>
          <w:color w:val="auto"/>
        </w:rPr>
        <w:t>(Option 5)</w:t>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834"/>
        <w:gridCol w:w="3456"/>
        <w:gridCol w:w="3456"/>
      </w:tblGrid>
      <w:tr w:rsidR="004C099B" w14:paraId="503007CA" w14:textId="51220E3C" w:rsidTr="004C099B">
        <w:tc>
          <w:tcPr>
            <w:tcW w:w="1454" w:type="pct"/>
            <w:tcBorders>
              <w:top w:val="single" w:sz="4" w:space="0" w:color="auto"/>
              <w:bottom w:val="single" w:sz="4" w:space="0" w:color="auto"/>
            </w:tcBorders>
          </w:tcPr>
          <w:p w14:paraId="56EFB18B" w14:textId="77777777" w:rsidR="004C099B" w:rsidRPr="00024663" w:rsidRDefault="004C099B" w:rsidP="004C099B">
            <w:pPr>
              <w:rPr>
                <w:b/>
                <w:bCs/>
              </w:rPr>
            </w:pPr>
            <w:r w:rsidRPr="00024663">
              <w:rPr>
                <w:b/>
                <w:bCs/>
              </w:rPr>
              <w:t>Estimate</w:t>
            </w:r>
          </w:p>
        </w:tc>
        <w:tc>
          <w:tcPr>
            <w:tcW w:w="1773" w:type="pct"/>
            <w:tcBorders>
              <w:top w:val="single" w:sz="4" w:space="0" w:color="auto"/>
              <w:bottom w:val="single" w:sz="4" w:space="0" w:color="auto"/>
            </w:tcBorders>
          </w:tcPr>
          <w:p w14:paraId="447AFDCF" w14:textId="77777777" w:rsidR="004C099B" w:rsidRPr="00024663" w:rsidRDefault="004C099B" w:rsidP="004C099B">
            <w:pPr>
              <w:rPr>
                <w:b/>
                <w:bCs/>
              </w:rPr>
            </w:pPr>
            <w:r w:rsidRPr="00024663">
              <w:rPr>
                <w:b/>
                <w:bCs/>
              </w:rPr>
              <w:t xml:space="preserve">Estimated </w:t>
            </w:r>
            <w:r>
              <w:rPr>
                <w:b/>
                <w:bCs/>
              </w:rPr>
              <w:t>Scottish small miller-</w:t>
            </w:r>
            <w:r w:rsidRPr="00024663">
              <w:rPr>
                <w:b/>
                <w:bCs/>
              </w:rPr>
              <w:t>produced SKUs containing NWWF</w:t>
            </w:r>
          </w:p>
        </w:tc>
        <w:tc>
          <w:tcPr>
            <w:tcW w:w="1773" w:type="pct"/>
            <w:tcBorders>
              <w:top w:val="single" w:sz="4" w:space="0" w:color="auto"/>
              <w:bottom w:val="single" w:sz="4" w:space="0" w:color="auto"/>
            </w:tcBorders>
          </w:tcPr>
          <w:p w14:paraId="2288EE2A" w14:textId="31E1C734" w:rsidR="004C099B" w:rsidRPr="00024663" w:rsidRDefault="004C099B" w:rsidP="004C099B">
            <w:pPr>
              <w:rPr>
                <w:b/>
                <w:bCs/>
              </w:rPr>
            </w:pPr>
            <w:r w:rsidRPr="00024663">
              <w:rPr>
                <w:b/>
                <w:bCs/>
              </w:rPr>
              <w:t xml:space="preserve">Estimated total </w:t>
            </w:r>
            <w:r>
              <w:rPr>
                <w:b/>
                <w:bCs/>
              </w:rPr>
              <w:t>Scottish package waste</w:t>
            </w:r>
            <w:r w:rsidRPr="00024663">
              <w:rPr>
                <w:b/>
                <w:bCs/>
              </w:rPr>
              <w:t xml:space="preserve"> cost, £ </w:t>
            </w:r>
            <w:r>
              <w:rPr>
                <w:b/>
                <w:bCs/>
              </w:rPr>
              <w:t>2024</w:t>
            </w:r>
            <w:r w:rsidR="00CD082A">
              <w:rPr>
                <w:b/>
                <w:bCs/>
              </w:rPr>
              <w:br/>
            </w:r>
            <w:r w:rsidR="00CD082A" w:rsidRPr="00CD082A">
              <w:t>NOT INCLUDED</w:t>
            </w:r>
          </w:p>
        </w:tc>
      </w:tr>
      <w:tr w:rsidR="00482472" w14:paraId="416638BE" w14:textId="14F06935" w:rsidTr="004C099B">
        <w:tc>
          <w:tcPr>
            <w:tcW w:w="1454" w:type="pct"/>
            <w:tcBorders>
              <w:top w:val="single" w:sz="4" w:space="0" w:color="auto"/>
            </w:tcBorders>
          </w:tcPr>
          <w:p w14:paraId="5DA7AAF8" w14:textId="77777777" w:rsidR="00482472" w:rsidRDefault="00482472" w:rsidP="00482472">
            <w:r>
              <w:t>Low</w:t>
            </w:r>
          </w:p>
        </w:tc>
        <w:tc>
          <w:tcPr>
            <w:tcW w:w="1773" w:type="pct"/>
            <w:tcBorders>
              <w:top w:val="single" w:sz="4" w:space="0" w:color="auto"/>
            </w:tcBorders>
          </w:tcPr>
          <w:p w14:paraId="0456DD17" w14:textId="702BD7DB" w:rsidR="00482472" w:rsidRDefault="00482472" w:rsidP="00482472">
            <w:r>
              <w:t>1</w:t>
            </w:r>
          </w:p>
        </w:tc>
        <w:tc>
          <w:tcPr>
            <w:tcW w:w="1773" w:type="pct"/>
            <w:tcBorders>
              <w:top w:val="single" w:sz="4" w:space="0" w:color="auto"/>
            </w:tcBorders>
          </w:tcPr>
          <w:p w14:paraId="6600C95A" w14:textId="01313BAD" w:rsidR="00482472" w:rsidRDefault="00C16CBC" w:rsidP="00482472">
            <w:r>
              <w:t>2,038</w:t>
            </w:r>
          </w:p>
        </w:tc>
      </w:tr>
      <w:tr w:rsidR="00482472" w14:paraId="72557C4F" w14:textId="6A6EB33D" w:rsidTr="004C099B">
        <w:tc>
          <w:tcPr>
            <w:tcW w:w="1454" w:type="pct"/>
          </w:tcPr>
          <w:p w14:paraId="099B9FED" w14:textId="77777777" w:rsidR="00482472" w:rsidRDefault="00482472" w:rsidP="00482472">
            <w:r>
              <w:t>Central</w:t>
            </w:r>
          </w:p>
        </w:tc>
        <w:tc>
          <w:tcPr>
            <w:tcW w:w="1773" w:type="pct"/>
          </w:tcPr>
          <w:p w14:paraId="325304D7" w14:textId="5D04D47C" w:rsidR="00482472" w:rsidRDefault="00482472" w:rsidP="00482472">
            <w:r>
              <w:t>2</w:t>
            </w:r>
          </w:p>
        </w:tc>
        <w:tc>
          <w:tcPr>
            <w:tcW w:w="1773" w:type="pct"/>
          </w:tcPr>
          <w:p w14:paraId="33DF0886" w14:textId="7F48AABA" w:rsidR="00482472" w:rsidRPr="000E6405" w:rsidRDefault="00C16CBC" w:rsidP="00482472">
            <w:r>
              <w:t>13,375</w:t>
            </w:r>
          </w:p>
        </w:tc>
      </w:tr>
      <w:tr w:rsidR="00482472" w14:paraId="20452FA8" w14:textId="4F730E21" w:rsidTr="004C099B">
        <w:tc>
          <w:tcPr>
            <w:tcW w:w="1454" w:type="pct"/>
          </w:tcPr>
          <w:p w14:paraId="548EE440" w14:textId="77777777" w:rsidR="00482472" w:rsidRDefault="00482472" w:rsidP="00482472">
            <w:r>
              <w:t>High</w:t>
            </w:r>
          </w:p>
        </w:tc>
        <w:tc>
          <w:tcPr>
            <w:tcW w:w="1773" w:type="pct"/>
          </w:tcPr>
          <w:p w14:paraId="08D74757" w14:textId="1D58707E" w:rsidR="00482472" w:rsidRDefault="00482472" w:rsidP="00482472">
            <w:r>
              <w:t>3</w:t>
            </w:r>
          </w:p>
        </w:tc>
        <w:tc>
          <w:tcPr>
            <w:tcW w:w="1773" w:type="pct"/>
          </w:tcPr>
          <w:p w14:paraId="0BF1EE0B" w14:textId="52830639" w:rsidR="00482472" w:rsidRDefault="00C16CBC" w:rsidP="00482472">
            <w:r>
              <w:t>39,744</w:t>
            </w:r>
          </w:p>
        </w:tc>
      </w:tr>
    </w:tbl>
    <w:p w14:paraId="0526597B" w14:textId="7B2A84F1" w:rsidR="00681B4E" w:rsidRDefault="00681B4E" w:rsidP="00D8624C"/>
    <w:p w14:paraId="1AB1F932" w14:textId="77777777" w:rsidR="00900DD8" w:rsidRPr="003136BB" w:rsidRDefault="00900DD8" w:rsidP="00D8624C"/>
    <w:sectPr w:rsidR="00900DD8" w:rsidRPr="003136BB" w:rsidSect="00224E48">
      <w:footerReference w:type="first" r:id="rId47"/>
      <w:pgSz w:w="11906" w:h="16838" w:code="9"/>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EFCD5" w14:textId="77777777" w:rsidR="00E65BD1" w:rsidRDefault="00E65BD1" w:rsidP="006158EB">
      <w:pPr>
        <w:spacing w:line="240" w:lineRule="auto"/>
      </w:pPr>
      <w:r>
        <w:separator/>
      </w:r>
    </w:p>
  </w:endnote>
  <w:endnote w:type="continuationSeparator" w:id="0">
    <w:p w14:paraId="53AA5022" w14:textId="77777777" w:rsidR="00E65BD1" w:rsidRDefault="00E65BD1" w:rsidP="006158EB">
      <w:pPr>
        <w:spacing w:line="240" w:lineRule="auto"/>
      </w:pPr>
      <w:r>
        <w:continuationSeparator/>
      </w:r>
    </w:p>
  </w:endnote>
  <w:endnote w:type="continuationNotice" w:id="1">
    <w:p w14:paraId="3A0E4F4C" w14:textId="77777777" w:rsidR="00E65BD1" w:rsidRDefault="00E65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118685"/>
      <w:docPartObj>
        <w:docPartGallery w:val="Page Numbers (Bottom of Page)"/>
        <w:docPartUnique/>
      </w:docPartObj>
    </w:sdtPr>
    <w:sdtEndPr>
      <w:rPr>
        <w:color w:val="404040" w:themeColor="text1" w:themeTint="BF"/>
      </w:rPr>
    </w:sdtEndPr>
    <w:sdtContent>
      <w:p w14:paraId="3D7BD123" w14:textId="77777777" w:rsidR="002A3632" w:rsidRPr="00CF21F4" w:rsidRDefault="002A3632" w:rsidP="002A3632">
        <w:pPr>
          <w:pStyle w:val="Footer"/>
          <w:jc w:val="center"/>
          <w:rPr>
            <w:color w:val="404040" w:themeColor="text1" w:themeTint="BF"/>
          </w:rPr>
        </w:pPr>
        <w:r w:rsidRPr="00CF21F4">
          <w:rPr>
            <w:color w:val="404040" w:themeColor="text1" w:themeTint="BF"/>
          </w:rPr>
          <w:fldChar w:fldCharType="begin"/>
        </w:r>
        <w:r w:rsidRPr="00CF21F4">
          <w:rPr>
            <w:color w:val="404040" w:themeColor="text1" w:themeTint="BF"/>
          </w:rPr>
          <w:instrText xml:space="preserve"> PAGE   \* MERGEFORMAT </w:instrText>
        </w:r>
        <w:r w:rsidRPr="00CF21F4">
          <w:rPr>
            <w:color w:val="404040" w:themeColor="text1" w:themeTint="BF"/>
          </w:rPr>
          <w:fldChar w:fldCharType="separate"/>
        </w:r>
        <w:r w:rsidR="00916E4D" w:rsidRPr="00CF21F4">
          <w:rPr>
            <w:color w:val="404040" w:themeColor="text1" w:themeTint="BF"/>
          </w:rPr>
          <w:t>4</w:t>
        </w:r>
        <w:r w:rsidRPr="00CF21F4">
          <w:rPr>
            <w:color w:val="404040" w:themeColor="text1" w:themeTint="B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B2D0" w14:textId="77777777" w:rsidR="00F32840" w:rsidRDefault="00F32840">
    <w:pPr>
      <w:pStyle w:val="Footer"/>
      <w:pBdr>
        <w:top w:val="single" w:sz="4" w:space="8" w:color="402956"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7690CD5" w14:textId="72DC7538" w:rsidR="00EA19B7" w:rsidRDefault="00EA19B7" w:rsidP="004200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5240"/>
      <w:gridCol w:w="3776"/>
    </w:tblGrid>
    <w:tr w:rsidR="00934648" w14:paraId="383623B1" w14:textId="77777777" w:rsidTr="00100744">
      <w:tc>
        <w:tcPr>
          <w:tcW w:w="5240" w:type="dxa"/>
          <w:vAlign w:val="center"/>
        </w:tcPr>
        <w:p w14:paraId="0A6242DD" w14:textId="23F72B8E" w:rsidR="00934648" w:rsidRDefault="00934648" w:rsidP="00EA19B7">
          <w:pPr>
            <w:spacing w:line="276" w:lineRule="auto"/>
          </w:pPr>
        </w:p>
      </w:tc>
      <w:tc>
        <w:tcPr>
          <w:tcW w:w="3776" w:type="dxa"/>
          <w:vAlign w:val="center"/>
        </w:tcPr>
        <w:p w14:paraId="76ABCF21" w14:textId="5C4EAD18" w:rsidR="00934648" w:rsidRDefault="00934648" w:rsidP="00EA19B7">
          <w:pPr>
            <w:spacing w:line="276" w:lineRule="auto"/>
            <w:jc w:val="right"/>
          </w:pPr>
        </w:p>
      </w:tc>
    </w:tr>
  </w:tbl>
  <w:p w14:paraId="10041D23" w14:textId="77777777" w:rsidR="00934648" w:rsidRDefault="00934648" w:rsidP="00EA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1CFC5" w14:textId="77777777" w:rsidR="00E65BD1" w:rsidRDefault="00E65BD1" w:rsidP="006158EB">
      <w:pPr>
        <w:spacing w:line="240" w:lineRule="auto"/>
      </w:pPr>
      <w:r>
        <w:separator/>
      </w:r>
    </w:p>
  </w:footnote>
  <w:footnote w:type="continuationSeparator" w:id="0">
    <w:p w14:paraId="3D9E2E09" w14:textId="77777777" w:rsidR="00E65BD1" w:rsidRDefault="00E65BD1" w:rsidP="006158EB">
      <w:pPr>
        <w:spacing w:line="240" w:lineRule="auto"/>
      </w:pPr>
      <w:r>
        <w:continuationSeparator/>
      </w:r>
    </w:p>
  </w:footnote>
  <w:footnote w:type="continuationNotice" w:id="1">
    <w:p w14:paraId="04641AD3" w14:textId="77777777" w:rsidR="00E65BD1" w:rsidRDefault="00E65BD1">
      <w:pPr>
        <w:spacing w:line="240" w:lineRule="auto"/>
      </w:pPr>
    </w:p>
  </w:footnote>
  <w:footnote w:id="2">
    <w:p w14:paraId="078653C5" w14:textId="14256311" w:rsidR="00964281" w:rsidRPr="00964281" w:rsidRDefault="00964281">
      <w:pPr>
        <w:pStyle w:val="FootnoteText"/>
        <w:rPr>
          <w:rFonts w:cstheme="minorHAnsi"/>
        </w:rPr>
      </w:pPr>
      <w:r w:rsidRPr="00033649">
        <w:rPr>
          <w:rStyle w:val="FootnoteReference"/>
          <w:rFonts w:asciiTheme="minorHAnsi" w:hAnsiTheme="minorHAnsi" w:cstheme="minorHAnsi"/>
          <w:sz w:val="24"/>
        </w:rPr>
        <w:footnoteRef/>
      </w:r>
      <w:r w:rsidRPr="00964281">
        <w:rPr>
          <w:rFonts w:cstheme="minorHAnsi"/>
        </w:rPr>
        <w:t xml:space="preserve"> </w:t>
      </w:r>
      <w:hyperlink r:id="rId1" w:history="1">
        <w:r w:rsidR="00B62ECD" w:rsidRPr="00AF74F9">
          <w:rPr>
            <w:rStyle w:val="Hyperlink"/>
            <w:color w:val="0070C0"/>
          </w:rPr>
          <w:t>HMRC</w:t>
        </w:r>
      </w:hyperlink>
      <w:r w:rsidR="00B62ECD" w:rsidRPr="00AF74F9">
        <w:rPr>
          <w:color w:val="0070C0"/>
        </w:rPr>
        <w:t xml:space="preserve">; </w:t>
      </w:r>
      <w:r w:rsidRPr="00964281">
        <w:rPr>
          <w:rFonts w:cstheme="minorHAnsi"/>
        </w:rPr>
        <w:t>Assuming no imported flour is re-exported.</w:t>
      </w:r>
    </w:p>
  </w:footnote>
  <w:footnote w:id="3">
    <w:p w14:paraId="65C43714" w14:textId="77777777" w:rsidR="0035332A" w:rsidRDefault="0035332A" w:rsidP="0035332A">
      <w:pPr>
        <w:pStyle w:val="FootnoteText"/>
      </w:pPr>
      <w:r w:rsidRPr="007870AC">
        <w:rPr>
          <w:rStyle w:val="FootnoteReference"/>
          <w:rFonts w:ascii="Arial" w:hAnsi="Arial" w:cs="Arial"/>
          <w:sz w:val="24"/>
          <w:szCs w:val="28"/>
        </w:rPr>
        <w:footnoteRef/>
      </w:r>
      <w:r>
        <w:t xml:space="preserve"> </w:t>
      </w:r>
      <w:r w:rsidRPr="00840FE1">
        <w:t>Pre assessment information request from UKFM</w:t>
      </w:r>
    </w:p>
  </w:footnote>
  <w:footnote w:id="4">
    <w:p w14:paraId="3381E0FE" w14:textId="0D753CC9" w:rsidR="0035332A" w:rsidRDefault="0035332A" w:rsidP="0035332A">
      <w:pPr>
        <w:pStyle w:val="FootnoteText"/>
      </w:pPr>
      <w:r w:rsidRPr="005640A0">
        <w:rPr>
          <w:rStyle w:val="FootnoteReference"/>
          <w:rFonts w:asciiTheme="minorHAnsi" w:hAnsiTheme="minorHAnsi" w:cstheme="minorHAnsi"/>
          <w:sz w:val="24"/>
        </w:rPr>
        <w:footnoteRef/>
      </w:r>
      <w:r>
        <w:t xml:space="preserve"> Interpreted as the difference between current and proposed BFR fortification levels for these </w:t>
      </w:r>
      <w:r w:rsidR="00C0566A">
        <w:t>fortificants.</w:t>
      </w:r>
    </w:p>
  </w:footnote>
  <w:footnote w:id="5">
    <w:p w14:paraId="18A14B3D" w14:textId="4713EB15" w:rsidR="0035332A" w:rsidRDefault="0035332A" w:rsidP="0035332A">
      <w:pPr>
        <w:pStyle w:val="FootnoteText"/>
      </w:pPr>
      <w:r w:rsidRPr="007870AC">
        <w:rPr>
          <w:rStyle w:val="FootnoteReference"/>
          <w:rFonts w:asciiTheme="minorHAnsi" w:hAnsiTheme="minorHAnsi" w:cstheme="minorHAnsi"/>
          <w:sz w:val="24"/>
          <w:szCs w:val="28"/>
        </w:rPr>
        <w:footnoteRef/>
      </w:r>
      <w:r>
        <w:t xml:space="preserve"> On-cost estimate provided by premix supplier during a DEFRA stakeholder engagement exercise</w:t>
      </w:r>
      <w:r w:rsidR="00D8624C">
        <w:t xml:space="preserve"> </w:t>
      </w:r>
    </w:p>
  </w:footnote>
  <w:footnote w:id="6">
    <w:p w14:paraId="3D475ACE" w14:textId="358C141B" w:rsidR="00A37E8E" w:rsidRPr="00CB2FDE" w:rsidRDefault="00A37E8E">
      <w:pPr>
        <w:pStyle w:val="FootnoteText"/>
        <w:rPr>
          <w:rFonts w:cstheme="minorHAnsi"/>
        </w:rPr>
      </w:pPr>
      <w:r w:rsidRPr="00E21E48">
        <w:rPr>
          <w:rStyle w:val="FootnoteReference"/>
          <w:rFonts w:asciiTheme="minorHAnsi" w:hAnsiTheme="minorHAnsi" w:cstheme="minorHAnsi"/>
          <w:sz w:val="24"/>
        </w:rPr>
        <w:footnoteRef/>
      </w:r>
      <w:r w:rsidRPr="00CB2FDE">
        <w:rPr>
          <w:rFonts w:cstheme="minorHAnsi"/>
        </w:rPr>
        <w:t xml:space="preserve"> </w:t>
      </w:r>
      <w:r w:rsidR="0029521B" w:rsidRPr="00CB2FDE">
        <w:rPr>
          <w:rFonts w:cstheme="minorHAnsi"/>
        </w:rPr>
        <w:t>i.e. these</w:t>
      </w:r>
      <w:r w:rsidRPr="00CB2FDE">
        <w:rPr>
          <w:rFonts w:cstheme="minorHAnsi"/>
        </w:rPr>
        <w:t xml:space="preserve"> ranges are not confidence intervals</w:t>
      </w:r>
      <w:r w:rsidR="0029521B" w:rsidRPr="00CB2FDE">
        <w:rPr>
          <w:rFonts w:cstheme="minorHAnsi"/>
        </w:rPr>
        <w:t>.</w:t>
      </w:r>
    </w:p>
  </w:footnote>
  <w:footnote w:id="7">
    <w:p w14:paraId="1EBEA81D" w14:textId="77777777" w:rsidR="00492345" w:rsidRPr="002E53F8" w:rsidRDefault="00492345" w:rsidP="00492345">
      <w:pPr>
        <w:pStyle w:val="FootnoteText"/>
        <w:rPr>
          <w:rFonts w:cstheme="minorHAnsi"/>
          <w:sz w:val="20"/>
          <w:szCs w:val="20"/>
        </w:rPr>
      </w:pPr>
      <w:r w:rsidRPr="002E53F8">
        <w:rPr>
          <w:rStyle w:val="FootnoteReference"/>
          <w:rFonts w:asciiTheme="minorHAnsi" w:hAnsiTheme="minorHAnsi" w:cstheme="minorHAnsi"/>
          <w:sz w:val="20"/>
          <w:szCs w:val="20"/>
        </w:rPr>
        <w:footnoteRef/>
      </w:r>
      <w:r w:rsidRPr="002E53F8">
        <w:rPr>
          <w:rFonts w:cstheme="minorHAnsi"/>
          <w:sz w:val="20"/>
          <w:szCs w:val="20"/>
        </w:rPr>
        <w:t xml:space="preserve"> All monetised benefits are assessed over a policy period of 10 years in line with RPC and DHSC guidance on the default time period that should be used in any appraisal. However, the health benefits of those 10 annual cohorts born during that period are assessed over their whole lifetime, again in line with DHSC guidance. This is because the benefits of avoided NTDs will be seen throughout an individual’s whole life due to the severe and lasting impacts of the condition(s). The main costs are transitional in nature, so the duration of the appraisal period has little impact on the cost estimates. Where costs persist across the policy (e.g. the purchase of fortificants), these are assessed over the full 10 year period.</w:t>
      </w:r>
    </w:p>
  </w:footnote>
  <w:footnote w:id="8">
    <w:p w14:paraId="440F6361" w14:textId="77777777" w:rsidR="00941F47" w:rsidRDefault="00941F47" w:rsidP="00941F47">
      <w:pPr>
        <w:pStyle w:val="FootnoteText"/>
      </w:pPr>
      <w:r w:rsidRPr="00C24BA6">
        <w:rPr>
          <w:rStyle w:val="FootnoteReference"/>
          <w:rFonts w:asciiTheme="minorHAnsi" w:hAnsiTheme="minorHAnsi" w:cstheme="minorHAnsi"/>
          <w:sz w:val="20"/>
          <w:szCs w:val="20"/>
        </w:rPr>
        <w:footnoteRef/>
      </w:r>
      <w:r w:rsidRPr="00C24BA6">
        <w:rPr>
          <w:rFonts w:cstheme="minorHAnsi"/>
          <w:sz w:val="20"/>
          <w:szCs w:val="20"/>
        </w:rPr>
        <w:t xml:space="preserve"> The Welsh CARIS dataset includes only miscarriages (a) known to be affected by an NTD and (b) reported to the register. In many cases of an early NTD-related miscarriage, the NTD will not be identified. This means the data will likely underestimate the true number of total NTD-related miscarriages (in Wales).</w:t>
      </w:r>
    </w:p>
  </w:footnote>
  <w:footnote w:id="9">
    <w:p w14:paraId="0230B50E" w14:textId="77777777" w:rsidR="009502C4" w:rsidRPr="00DC60DB" w:rsidRDefault="009502C4" w:rsidP="009502C4">
      <w:pPr>
        <w:pStyle w:val="FootnoteText"/>
        <w:rPr>
          <w:rFonts w:cstheme="minorHAnsi"/>
          <w:sz w:val="20"/>
          <w:szCs w:val="20"/>
        </w:rPr>
      </w:pPr>
      <w:r w:rsidRPr="00DC60DB">
        <w:rPr>
          <w:rStyle w:val="FootnoteReference"/>
          <w:rFonts w:asciiTheme="minorHAnsi" w:hAnsiTheme="minorHAnsi" w:cstheme="minorHAnsi"/>
          <w:sz w:val="20"/>
          <w:szCs w:val="20"/>
        </w:rPr>
        <w:footnoteRef/>
      </w:r>
      <w:r w:rsidRPr="00DC60DB">
        <w:rPr>
          <w:rFonts w:cstheme="minorHAnsi"/>
          <w:sz w:val="20"/>
          <w:szCs w:val="20"/>
        </w:rPr>
        <w:t xml:space="preserve"> This is based on data from </w:t>
      </w:r>
      <w:hyperlink r:id="rId2" w:history="1">
        <w:r w:rsidRPr="007F7B64">
          <w:rPr>
            <w:rStyle w:val="Hyperlink"/>
            <w:rFonts w:cstheme="minorHAnsi"/>
            <w:color w:val="0070C0"/>
            <w:sz w:val="20"/>
            <w:szCs w:val="20"/>
          </w:rPr>
          <w:t>ONS (2023)</w:t>
        </w:r>
      </w:hyperlink>
      <w:r w:rsidRPr="00DC60DB">
        <w:rPr>
          <w:rFonts w:cstheme="minorHAnsi"/>
          <w:sz w:val="20"/>
          <w:szCs w:val="20"/>
        </w:rPr>
        <w:t xml:space="preserve"> on full-time employees.</w:t>
      </w:r>
    </w:p>
  </w:footnote>
  <w:footnote w:id="10">
    <w:p w14:paraId="13441224" w14:textId="77777777" w:rsidR="00492345" w:rsidRPr="00ED770B" w:rsidRDefault="00492345" w:rsidP="00492345">
      <w:pPr>
        <w:pStyle w:val="FootnoteText"/>
        <w:rPr>
          <w:rFonts w:cstheme="minorHAnsi"/>
          <w:sz w:val="20"/>
          <w:szCs w:val="20"/>
        </w:rPr>
      </w:pPr>
      <w:r w:rsidRPr="00ED770B">
        <w:rPr>
          <w:rStyle w:val="FootnoteReference"/>
          <w:rFonts w:asciiTheme="minorHAnsi" w:hAnsiTheme="minorHAnsi" w:cstheme="minorHAnsi"/>
          <w:sz w:val="20"/>
          <w:szCs w:val="20"/>
        </w:rPr>
        <w:footnoteRef/>
      </w:r>
      <w:r w:rsidRPr="00ED770B">
        <w:rPr>
          <w:rFonts w:cstheme="minorHAnsi"/>
          <w:sz w:val="20"/>
          <w:szCs w:val="20"/>
        </w:rPr>
        <w:t xml:space="preserve"> </w:t>
      </w:r>
      <w:r w:rsidRPr="00283863">
        <w:rPr>
          <w:rFonts w:cstheme="minorHAnsi"/>
          <w:sz w:val="20"/>
          <w:szCs w:val="20"/>
        </w:rPr>
        <w:t xml:space="preserve">This </w:t>
      </w:r>
      <w:r w:rsidRPr="0092308B">
        <w:rPr>
          <w:rFonts w:cstheme="minorHAnsi"/>
          <w:sz w:val="20"/>
          <w:szCs w:val="20"/>
        </w:rPr>
        <w:t>assumes</w:t>
      </w:r>
      <w:r w:rsidRPr="00283863">
        <w:rPr>
          <w:rFonts w:cstheme="minorHAnsi"/>
          <w:sz w:val="20"/>
          <w:szCs w:val="20"/>
        </w:rPr>
        <w:t xml:space="preserve"> that the individual would</w:t>
      </w:r>
      <w:r w:rsidRPr="00ED770B">
        <w:rPr>
          <w:rFonts w:cstheme="minorHAnsi"/>
          <w:sz w:val="20"/>
          <w:szCs w:val="20"/>
        </w:rPr>
        <w:t xml:space="preserve"> instead be born and live with average health throughout their life.</w:t>
      </w:r>
    </w:p>
  </w:footnote>
  <w:footnote w:id="11">
    <w:p w14:paraId="3578ABFF" w14:textId="37E477CB" w:rsidR="00492345" w:rsidRPr="00BB4331" w:rsidRDefault="00492345" w:rsidP="00492345">
      <w:pPr>
        <w:pStyle w:val="FootnoteText"/>
        <w:rPr>
          <w:rFonts w:cstheme="minorHAnsi"/>
          <w:sz w:val="20"/>
          <w:szCs w:val="20"/>
        </w:rPr>
      </w:pPr>
      <w:r w:rsidRPr="00BB4331">
        <w:rPr>
          <w:rStyle w:val="FootnoteReference"/>
          <w:rFonts w:asciiTheme="minorHAnsi" w:hAnsiTheme="minorHAnsi" w:cstheme="minorHAnsi"/>
          <w:sz w:val="20"/>
          <w:szCs w:val="20"/>
        </w:rPr>
        <w:footnoteRef/>
      </w:r>
      <w:r w:rsidRPr="00BB4331">
        <w:rPr>
          <w:rFonts w:cstheme="minorHAnsi"/>
          <w:sz w:val="20"/>
          <w:szCs w:val="20"/>
        </w:rPr>
        <w:t xml:space="preserve"> This cost was downscaled by using the ratio of Anencephaly costs to Spina Bifida costs found in Yi et al (2011</w:t>
      </w:r>
      <w:r w:rsidR="00C0566A" w:rsidRPr="00BB4331">
        <w:rPr>
          <w:rFonts w:cstheme="minorHAnsi"/>
          <w:sz w:val="20"/>
          <w:szCs w:val="20"/>
        </w:rPr>
        <w:t>) and</w:t>
      </w:r>
      <w:r w:rsidRPr="00BB4331">
        <w:rPr>
          <w:rFonts w:cstheme="minorHAnsi"/>
          <w:sz w:val="20"/>
          <w:szCs w:val="20"/>
        </w:rPr>
        <w:t xml:space="preserve"> applying this ratio to the Spina Bifida costs for Germany from Bowles et al (2014).</w:t>
      </w:r>
    </w:p>
  </w:footnote>
  <w:footnote w:id="12">
    <w:p w14:paraId="558DC7C3" w14:textId="77777777" w:rsidR="00AA629E" w:rsidRPr="00C24BA6" w:rsidRDefault="00AA629E" w:rsidP="00AA629E">
      <w:pPr>
        <w:pStyle w:val="FootnoteText"/>
        <w:rPr>
          <w:rFonts w:cstheme="minorHAnsi"/>
          <w:sz w:val="20"/>
          <w:szCs w:val="20"/>
        </w:rPr>
      </w:pPr>
      <w:r w:rsidRPr="00C24BA6">
        <w:rPr>
          <w:rStyle w:val="FootnoteReference"/>
          <w:rFonts w:asciiTheme="minorHAnsi" w:hAnsiTheme="minorHAnsi" w:cstheme="minorHAnsi"/>
          <w:sz w:val="20"/>
          <w:szCs w:val="20"/>
        </w:rPr>
        <w:footnoteRef/>
      </w:r>
      <w:r w:rsidRPr="00C24BA6">
        <w:rPr>
          <w:rFonts w:cstheme="minorHAnsi"/>
          <w:sz w:val="20"/>
          <w:szCs w:val="20"/>
        </w:rPr>
        <w:t xml:space="preserve"> Late spontaneous foetal abortions between 20-23 weeks gestation are recorded in the Scottish data.</w:t>
      </w:r>
    </w:p>
  </w:footnote>
  <w:footnote w:id="13">
    <w:p w14:paraId="0517F1BA" w14:textId="77099D0A" w:rsidR="004971CE" w:rsidRDefault="004971CE">
      <w:pPr>
        <w:pStyle w:val="FootnoteText"/>
      </w:pPr>
      <w:r w:rsidRPr="00C24BA6">
        <w:rPr>
          <w:rStyle w:val="FootnoteReference"/>
          <w:rFonts w:asciiTheme="minorHAnsi" w:hAnsiTheme="minorHAnsi" w:cstheme="minorHAnsi"/>
          <w:sz w:val="20"/>
          <w:szCs w:val="20"/>
        </w:rPr>
        <w:footnoteRef/>
      </w:r>
      <w:r w:rsidRPr="00C24BA6">
        <w:rPr>
          <w:rFonts w:cstheme="minorHAnsi"/>
          <w:sz w:val="20"/>
          <w:szCs w:val="20"/>
        </w:rPr>
        <w:t xml:space="preserve"> The Welsh CARIS dataset</w:t>
      </w:r>
      <w:r w:rsidR="00B628B5" w:rsidRPr="00C24BA6">
        <w:rPr>
          <w:rFonts w:cstheme="minorHAnsi"/>
          <w:sz w:val="20"/>
          <w:szCs w:val="20"/>
        </w:rPr>
        <w:t xml:space="preserve"> includes only miscarriages (a) known to be affected by an NTD and (b) reported to the register. In many cases of an early NTD-related miscarriage, the NTD will not be identified</w:t>
      </w:r>
      <w:r w:rsidR="00EE56C4" w:rsidRPr="00C24BA6">
        <w:rPr>
          <w:rFonts w:cstheme="minorHAnsi"/>
          <w:sz w:val="20"/>
          <w:szCs w:val="20"/>
        </w:rPr>
        <w:t xml:space="preserve">. </w:t>
      </w:r>
      <w:r w:rsidR="009C00F5" w:rsidRPr="00C24BA6">
        <w:rPr>
          <w:rFonts w:cstheme="minorHAnsi"/>
          <w:sz w:val="20"/>
          <w:szCs w:val="20"/>
        </w:rPr>
        <w:t xml:space="preserve">This means the data will likely underestimate </w:t>
      </w:r>
      <w:r w:rsidR="00C24BA6" w:rsidRPr="00C24BA6">
        <w:rPr>
          <w:rFonts w:cstheme="minorHAnsi"/>
          <w:sz w:val="20"/>
          <w:szCs w:val="20"/>
        </w:rPr>
        <w:t>the true number of total NTD-related miscarriages (in Wales).</w:t>
      </w:r>
    </w:p>
  </w:footnote>
  <w:footnote w:id="14">
    <w:p w14:paraId="716B22F6" w14:textId="3A3EF3A9" w:rsidR="00492345" w:rsidRPr="008644C2" w:rsidRDefault="00492345" w:rsidP="00492345">
      <w:pPr>
        <w:pStyle w:val="FootnoteText"/>
        <w:rPr>
          <w:rFonts w:cstheme="minorHAnsi"/>
          <w:sz w:val="20"/>
          <w:szCs w:val="20"/>
        </w:rPr>
      </w:pPr>
      <w:r w:rsidRPr="008644C2">
        <w:rPr>
          <w:rStyle w:val="FootnoteReference"/>
          <w:rFonts w:asciiTheme="minorHAnsi" w:hAnsiTheme="minorHAnsi" w:cstheme="minorHAnsi"/>
          <w:sz w:val="20"/>
          <w:szCs w:val="20"/>
        </w:rPr>
        <w:footnoteRef/>
      </w:r>
      <w:r w:rsidRPr="008644C2">
        <w:rPr>
          <w:rFonts w:cstheme="minorHAnsi"/>
          <w:sz w:val="20"/>
          <w:szCs w:val="20"/>
        </w:rPr>
        <w:t xml:space="preserve"> Note that the proportion of medical terminations has risen </w:t>
      </w:r>
      <w:r>
        <w:rPr>
          <w:rFonts w:cstheme="minorHAnsi"/>
          <w:sz w:val="20"/>
          <w:szCs w:val="20"/>
        </w:rPr>
        <w:t xml:space="preserve">in the last decade, e.g. </w:t>
      </w:r>
      <w:r w:rsidRPr="008644C2">
        <w:rPr>
          <w:rFonts w:cstheme="minorHAnsi"/>
          <w:sz w:val="20"/>
          <w:szCs w:val="20"/>
        </w:rPr>
        <w:t xml:space="preserve">from 87.7% </w:t>
      </w:r>
      <w:r>
        <w:rPr>
          <w:rFonts w:cstheme="minorHAnsi"/>
          <w:sz w:val="20"/>
          <w:szCs w:val="20"/>
        </w:rPr>
        <w:t xml:space="preserve">in </w:t>
      </w:r>
      <w:r w:rsidRPr="008644C2">
        <w:rPr>
          <w:rFonts w:cstheme="minorHAnsi"/>
          <w:sz w:val="20"/>
          <w:szCs w:val="20"/>
        </w:rPr>
        <w:t xml:space="preserve">2019 to 98.8% </w:t>
      </w:r>
      <w:r>
        <w:rPr>
          <w:rFonts w:cstheme="minorHAnsi"/>
          <w:sz w:val="20"/>
          <w:szCs w:val="20"/>
        </w:rPr>
        <w:t>in 2022 (provisional)</w:t>
      </w:r>
      <w:r w:rsidRPr="008644C2">
        <w:rPr>
          <w:rFonts w:cstheme="minorHAnsi"/>
          <w:sz w:val="20"/>
          <w:szCs w:val="20"/>
        </w:rPr>
        <w:t xml:space="preserve">. </w:t>
      </w:r>
      <w:r>
        <w:rPr>
          <w:rFonts w:cstheme="minorHAnsi"/>
          <w:sz w:val="20"/>
          <w:szCs w:val="20"/>
        </w:rPr>
        <w:t>This may be in part due to changes in legislation. F</w:t>
      </w:r>
      <w:r w:rsidRPr="0013324E">
        <w:rPr>
          <w:rFonts w:cstheme="minorHAnsi"/>
          <w:sz w:val="20"/>
          <w:szCs w:val="20"/>
        </w:rPr>
        <w:t>rom 27 October 2017</w:t>
      </w:r>
      <w:r w:rsidR="005F21F7">
        <w:rPr>
          <w:rFonts w:cstheme="minorHAnsi"/>
          <w:sz w:val="20"/>
          <w:szCs w:val="20"/>
        </w:rPr>
        <w:t>,</w:t>
      </w:r>
      <w:r w:rsidRPr="0013324E">
        <w:rPr>
          <w:rFonts w:cstheme="minorHAnsi"/>
          <w:sz w:val="20"/>
          <w:szCs w:val="20"/>
        </w:rPr>
        <w:t xml:space="preserve"> </w:t>
      </w:r>
      <w:r w:rsidR="00AE2BE8">
        <w:rPr>
          <w:rFonts w:cstheme="minorHAnsi"/>
          <w:sz w:val="20"/>
          <w:szCs w:val="20"/>
        </w:rPr>
        <w:t xml:space="preserve">Scottish </w:t>
      </w:r>
      <w:r w:rsidR="005F21F7">
        <w:rPr>
          <w:rFonts w:cstheme="minorHAnsi"/>
          <w:sz w:val="20"/>
          <w:szCs w:val="20"/>
        </w:rPr>
        <w:t>M</w:t>
      </w:r>
      <w:r w:rsidRPr="0013324E">
        <w:rPr>
          <w:rFonts w:cstheme="minorHAnsi"/>
          <w:sz w:val="20"/>
          <w:szCs w:val="20"/>
        </w:rPr>
        <w:t>inisters approved a patient’s place of ordinary residence in Scotland as a class of place where treatment for termination of pregnancy may be carried out, allowing misoprostol (the second drug) to be administered there. On 31 March 2020, Scottish Ministers agreed to approve a patient’s place of ordinary residence in Scotland as a class of place where mifepristone (the first drug) may also be taken where clinically appropriate, and where it was not advisable for the patient to attend a clinic or hospital for their treatment due to risks associated with spread of COVID-19. On 12 May 2022</w:t>
      </w:r>
      <w:r w:rsidR="00A06B4D">
        <w:rPr>
          <w:rFonts w:cstheme="minorHAnsi"/>
          <w:sz w:val="20"/>
          <w:szCs w:val="20"/>
        </w:rPr>
        <w:t>,</w:t>
      </w:r>
      <w:r w:rsidRPr="0013324E">
        <w:rPr>
          <w:rFonts w:cstheme="minorHAnsi"/>
          <w:sz w:val="20"/>
          <w:szCs w:val="20"/>
        </w:rPr>
        <w:t xml:space="preserve"> the Scottish Government removed the requirement for the coronavirus to be a serious and imminent threat to public health and to continue to allow mifepristone (the first drug) to be taken at home.</w:t>
      </w:r>
    </w:p>
  </w:footnote>
  <w:footnote w:id="15">
    <w:p w14:paraId="5E2EDE4B" w14:textId="0C6D3024" w:rsidR="00664C57" w:rsidRPr="00664C57" w:rsidRDefault="00664C57">
      <w:pPr>
        <w:pStyle w:val="FootnoteText"/>
        <w:rPr>
          <w:rFonts w:cstheme="minorHAnsi"/>
          <w:sz w:val="20"/>
          <w:szCs w:val="20"/>
        </w:rPr>
      </w:pPr>
      <w:r w:rsidRPr="00664C57">
        <w:rPr>
          <w:rStyle w:val="FootnoteReference"/>
          <w:rFonts w:asciiTheme="minorHAnsi" w:hAnsiTheme="minorHAnsi" w:cstheme="minorHAnsi"/>
          <w:sz w:val="20"/>
          <w:szCs w:val="20"/>
        </w:rPr>
        <w:footnoteRef/>
      </w:r>
      <w:r w:rsidRPr="00664C57">
        <w:rPr>
          <w:rFonts w:cstheme="minorHAnsi"/>
          <w:sz w:val="20"/>
          <w:szCs w:val="20"/>
        </w:rPr>
        <w:t xml:space="preserve"> The higher labour participation rate (50%) is used in our low estimate </w:t>
      </w:r>
      <w:r w:rsidR="009C67AD">
        <w:rPr>
          <w:rFonts w:cstheme="minorHAnsi"/>
          <w:sz w:val="20"/>
          <w:szCs w:val="20"/>
        </w:rPr>
        <w:t xml:space="preserve">(and vice versa for our high estimate) </w:t>
      </w:r>
      <w:r w:rsidRPr="00664C57">
        <w:rPr>
          <w:rFonts w:cstheme="minorHAnsi"/>
          <w:sz w:val="20"/>
          <w:szCs w:val="20"/>
        </w:rPr>
        <w:t xml:space="preserve">since increasing this rate will </w:t>
      </w:r>
      <w:r w:rsidRPr="008F470A">
        <w:rPr>
          <w:rFonts w:cstheme="minorHAnsi"/>
          <w:i/>
          <w:iCs/>
          <w:sz w:val="20"/>
          <w:szCs w:val="20"/>
        </w:rPr>
        <w:t>reduce</w:t>
      </w:r>
      <w:r w:rsidRPr="00664C57">
        <w:rPr>
          <w:rFonts w:cstheme="minorHAnsi"/>
          <w:sz w:val="20"/>
          <w:szCs w:val="20"/>
        </w:rPr>
        <w:t xml:space="preserve"> the increase in lifetime earnings.</w:t>
      </w:r>
    </w:p>
  </w:footnote>
  <w:footnote w:id="16">
    <w:p w14:paraId="570F6DF6" w14:textId="4F72178B" w:rsidR="00C2151A" w:rsidRPr="00DC60DB" w:rsidRDefault="00C2151A">
      <w:pPr>
        <w:pStyle w:val="FootnoteText"/>
        <w:rPr>
          <w:rFonts w:cstheme="minorHAnsi"/>
          <w:sz w:val="20"/>
          <w:szCs w:val="20"/>
        </w:rPr>
      </w:pPr>
      <w:r w:rsidRPr="00DC60DB">
        <w:rPr>
          <w:rStyle w:val="FootnoteReference"/>
          <w:rFonts w:asciiTheme="minorHAnsi" w:hAnsiTheme="minorHAnsi" w:cstheme="minorHAnsi"/>
          <w:sz w:val="20"/>
          <w:szCs w:val="20"/>
        </w:rPr>
        <w:footnoteRef/>
      </w:r>
      <w:r w:rsidRPr="00DC60DB">
        <w:rPr>
          <w:rFonts w:cstheme="minorHAnsi"/>
          <w:sz w:val="20"/>
          <w:szCs w:val="20"/>
        </w:rPr>
        <w:t xml:space="preserve"> This is based on</w:t>
      </w:r>
      <w:r w:rsidR="00F85FC4" w:rsidRPr="00DC60DB">
        <w:rPr>
          <w:rFonts w:cstheme="minorHAnsi"/>
          <w:sz w:val="20"/>
          <w:szCs w:val="20"/>
        </w:rPr>
        <w:t xml:space="preserve"> data from</w:t>
      </w:r>
      <w:r w:rsidRPr="00DC60DB">
        <w:rPr>
          <w:rFonts w:cstheme="minorHAnsi"/>
          <w:sz w:val="20"/>
          <w:szCs w:val="20"/>
        </w:rPr>
        <w:t xml:space="preserve"> </w:t>
      </w:r>
      <w:hyperlink r:id="rId3" w:history="1">
        <w:r w:rsidR="00F85FC4" w:rsidRPr="00A535F2">
          <w:rPr>
            <w:rStyle w:val="Hyperlink"/>
            <w:rFonts w:cstheme="minorHAnsi"/>
            <w:color w:val="0070C0"/>
            <w:sz w:val="20"/>
            <w:szCs w:val="20"/>
          </w:rPr>
          <w:t>ONS (2023)</w:t>
        </w:r>
      </w:hyperlink>
      <w:r w:rsidR="006D4C46" w:rsidRPr="00DC60DB">
        <w:rPr>
          <w:rFonts w:cstheme="minorHAnsi"/>
          <w:sz w:val="20"/>
          <w:szCs w:val="20"/>
        </w:rPr>
        <w:t xml:space="preserve"> </w:t>
      </w:r>
      <w:r w:rsidR="00F85FC4" w:rsidRPr="00DC60DB">
        <w:rPr>
          <w:rFonts w:cstheme="minorHAnsi"/>
          <w:sz w:val="20"/>
          <w:szCs w:val="20"/>
        </w:rPr>
        <w:t>o</w:t>
      </w:r>
      <w:r w:rsidR="006D4C46" w:rsidRPr="00DC60DB">
        <w:rPr>
          <w:rFonts w:cstheme="minorHAnsi"/>
          <w:sz w:val="20"/>
          <w:szCs w:val="20"/>
        </w:rPr>
        <w:t>n full-time employees.</w:t>
      </w:r>
    </w:p>
  </w:footnote>
  <w:footnote w:id="17">
    <w:p w14:paraId="36292297" w14:textId="049A1DE4" w:rsidR="00492345" w:rsidRPr="00F95CB4" w:rsidRDefault="00492345" w:rsidP="00492345">
      <w:pPr>
        <w:pStyle w:val="FootnoteText"/>
        <w:rPr>
          <w:rFonts w:cstheme="minorHAnsi"/>
        </w:rPr>
      </w:pPr>
      <w:r w:rsidRPr="001411E0">
        <w:rPr>
          <w:rStyle w:val="FootnoteReference"/>
          <w:rFonts w:asciiTheme="minorHAnsi" w:hAnsiTheme="minorHAnsi" w:cstheme="minorHAnsi"/>
          <w:sz w:val="20"/>
          <w:szCs w:val="20"/>
        </w:rPr>
        <w:footnoteRef/>
      </w:r>
      <w:r w:rsidRPr="001411E0">
        <w:rPr>
          <w:rFonts w:cstheme="minorHAnsi"/>
          <w:sz w:val="20"/>
          <w:szCs w:val="20"/>
        </w:rPr>
        <w:t xml:space="preserve"> We did not identify data on the split between two- and single-parent households for NTD sufferers.</w:t>
      </w:r>
      <w:r w:rsidR="00C85E2B">
        <w:rPr>
          <w:rFonts w:cstheme="minorHAnsi"/>
          <w:sz w:val="20"/>
          <w:szCs w:val="20"/>
        </w:rPr>
        <w:t xml:space="preserve"> There is an implicit assumption that </w:t>
      </w:r>
      <w:r w:rsidR="00C85E2B" w:rsidRPr="00C85E2B">
        <w:rPr>
          <w:rFonts w:cstheme="minorHAnsi"/>
          <w:sz w:val="20"/>
          <w:szCs w:val="20"/>
        </w:rPr>
        <w:t>both parents work and household labour participation is distributed equally between them.</w:t>
      </w:r>
    </w:p>
  </w:footnote>
  <w:footnote w:id="18">
    <w:p w14:paraId="55702B9B" w14:textId="52121589" w:rsidR="00331904" w:rsidRPr="00634066" w:rsidRDefault="00331904">
      <w:pPr>
        <w:pStyle w:val="FootnoteText"/>
        <w:rPr>
          <w:rFonts w:ascii="Arial" w:hAnsi="Arial" w:cs="Arial"/>
          <w:sz w:val="20"/>
          <w:szCs w:val="20"/>
        </w:rPr>
      </w:pPr>
      <w:r w:rsidRPr="00634066">
        <w:rPr>
          <w:rStyle w:val="FootnoteReference"/>
          <w:rFonts w:ascii="Arial" w:hAnsi="Arial" w:cs="Arial"/>
          <w:sz w:val="20"/>
          <w:szCs w:val="20"/>
        </w:rPr>
        <w:footnoteRef/>
      </w:r>
      <w:r w:rsidRPr="00634066">
        <w:rPr>
          <w:rFonts w:ascii="Arial" w:hAnsi="Arial" w:cs="Arial"/>
          <w:sz w:val="20"/>
          <w:szCs w:val="20"/>
        </w:rPr>
        <w:t xml:space="preserve"> Reporting feeling lonely ‘often or always’.</w:t>
      </w:r>
    </w:p>
  </w:footnote>
  <w:footnote w:id="19">
    <w:p w14:paraId="7FE2A6FF" w14:textId="26194838" w:rsidR="008D629B" w:rsidRPr="008D629B" w:rsidRDefault="008D629B">
      <w:pPr>
        <w:pStyle w:val="FootnoteText"/>
        <w:rPr>
          <w:rFonts w:cstheme="minorHAnsi"/>
          <w:sz w:val="20"/>
          <w:szCs w:val="20"/>
        </w:rPr>
      </w:pPr>
      <w:r w:rsidRPr="008D629B">
        <w:rPr>
          <w:rStyle w:val="FootnoteReference"/>
          <w:rFonts w:asciiTheme="minorHAnsi" w:hAnsiTheme="minorHAnsi" w:cstheme="minorHAnsi"/>
          <w:sz w:val="20"/>
          <w:szCs w:val="20"/>
        </w:rPr>
        <w:footnoteRef/>
      </w:r>
      <w:r w:rsidRPr="008D629B">
        <w:rPr>
          <w:rFonts w:cstheme="minorHAnsi"/>
          <w:sz w:val="20"/>
          <w:szCs w:val="20"/>
        </w:rPr>
        <w:t xml:space="preserve"> </w:t>
      </w:r>
      <w:r w:rsidR="004E6ABC">
        <w:rPr>
          <w:rFonts w:cstheme="minorHAnsi"/>
          <w:sz w:val="20"/>
          <w:szCs w:val="20"/>
        </w:rPr>
        <w:t>As quoted in BEIS</w:t>
      </w:r>
      <w:r w:rsidR="00D628DF">
        <w:rPr>
          <w:rFonts w:cstheme="minorHAnsi"/>
          <w:sz w:val="20"/>
          <w:szCs w:val="20"/>
        </w:rPr>
        <w:t>’ Business Impact Target assessment guidance</w:t>
      </w:r>
      <w:r w:rsidR="004E6ABC">
        <w:rPr>
          <w:rFonts w:cstheme="minorHAnsi"/>
          <w:sz w:val="20"/>
          <w:szCs w:val="20"/>
        </w:rPr>
        <w:t xml:space="preserve"> (2017),</w:t>
      </w:r>
      <w:r w:rsidR="00D8624C">
        <w:rPr>
          <w:rFonts w:cstheme="minorHAnsi"/>
          <w:sz w:val="20"/>
          <w:szCs w:val="20"/>
        </w:rPr>
        <w:t xml:space="preserve"> </w:t>
      </w:r>
      <w:r w:rsidR="00DD7879">
        <w:rPr>
          <w:rFonts w:cstheme="minorHAnsi"/>
          <w:sz w:val="20"/>
          <w:szCs w:val="20"/>
        </w:rPr>
        <w:t xml:space="preserve">available at: </w:t>
      </w:r>
      <w:hyperlink r:id="rId4" w:history="1">
        <w:r w:rsidR="00DD7879" w:rsidRPr="00AF74F9">
          <w:rPr>
            <w:rStyle w:val="Hyperlink"/>
            <w:rFonts w:cstheme="minorHAnsi"/>
            <w:color w:val="0070C0"/>
            <w:sz w:val="20"/>
            <w:szCs w:val="20"/>
          </w:rPr>
          <w:t>https://assets.publishing.service.gov.uk/government/uploads/system/uploads/attachment_data/file/609201/business-impact-target-guidance-appraisal.pdf</w:t>
        </w:r>
      </w:hyperlink>
      <w:r w:rsidR="00DD7879" w:rsidRPr="00AF74F9">
        <w:rPr>
          <w:rFonts w:cstheme="minorHAnsi"/>
          <w:color w:val="0070C0"/>
          <w:sz w:val="20"/>
          <w:szCs w:val="20"/>
        </w:rPr>
        <w:t xml:space="preserve"> </w:t>
      </w:r>
    </w:p>
  </w:footnote>
  <w:footnote w:id="20">
    <w:p w14:paraId="2D49D1D3" w14:textId="60397BE2" w:rsidR="00191060" w:rsidRPr="00E21E48" w:rsidRDefault="00191060">
      <w:pPr>
        <w:pStyle w:val="FootnoteText"/>
        <w:rPr>
          <w:rFonts w:cstheme="minorHAnsi"/>
          <w:sz w:val="20"/>
          <w:szCs w:val="20"/>
        </w:rPr>
      </w:pPr>
      <w:r w:rsidRPr="00A12FA4">
        <w:rPr>
          <w:rStyle w:val="FootnoteReference"/>
          <w:rFonts w:asciiTheme="minorHAnsi" w:hAnsiTheme="minorHAnsi" w:cstheme="minorHAnsi"/>
          <w:sz w:val="20"/>
          <w:szCs w:val="20"/>
        </w:rPr>
        <w:footnoteRef/>
      </w:r>
      <w:r w:rsidRPr="00A12FA4">
        <w:rPr>
          <w:rFonts w:cstheme="minorHAnsi"/>
          <w:sz w:val="20"/>
          <w:szCs w:val="20"/>
        </w:rPr>
        <w:t xml:space="preserve"> ASHE Table 14 and 15, gross hourly pay for all employee jobs.</w:t>
      </w:r>
    </w:p>
  </w:footnote>
  <w:footnote w:id="21">
    <w:p w14:paraId="1F156B25" w14:textId="53E85D40" w:rsidR="00764BAF" w:rsidRPr="00764BAF" w:rsidRDefault="00764BAF" w:rsidP="00764BAF">
      <w:pPr>
        <w:pStyle w:val="FootnoteText"/>
        <w:rPr>
          <w:sz w:val="20"/>
          <w:szCs w:val="20"/>
        </w:rPr>
      </w:pPr>
      <w:r w:rsidRPr="00764BAF">
        <w:rPr>
          <w:rStyle w:val="FootnoteReference"/>
          <w:rFonts w:ascii="Arial" w:hAnsi="Arial" w:cs="Arial"/>
          <w:sz w:val="20"/>
          <w:szCs w:val="20"/>
        </w:rPr>
        <w:footnoteRef/>
      </w:r>
      <w:r w:rsidRPr="00764BAF">
        <w:rPr>
          <w:rFonts w:ascii="Arial" w:hAnsi="Arial" w:cs="Arial"/>
          <w:sz w:val="20"/>
          <w:szCs w:val="20"/>
        </w:rPr>
        <w:t xml:space="preserve"> See</w:t>
      </w:r>
      <w:r w:rsidRPr="00764BAF">
        <w:rPr>
          <w:sz w:val="20"/>
          <w:szCs w:val="20"/>
        </w:rPr>
        <w:t xml:space="preserve"> </w:t>
      </w:r>
      <w:hyperlink r:id="rId5" w:history="1">
        <w:r w:rsidRPr="00AF74F9">
          <w:rPr>
            <w:rStyle w:val="Hyperlink"/>
            <w:rFonts w:cstheme="minorBidi"/>
            <w:color w:val="0070C0"/>
            <w:sz w:val="20"/>
            <w:szCs w:val="20"/>
          </w:rPr>
          <w:t>HMT’s Green Book (2022)</w:t>
        </w:r>
      </w:hyperlink>
      <w:r w:rsidRPr="00764BAF">
        <w:rPr>
          <w:sz w:val="20"/>
          <w:szCs w:val="20"/>
        </w:rPr>
        <w:t>, p. 40</w:t>
      </w:r>
      <w:r>
        <w:rPr>
          <w:sz w:val="20"/>
          <w:szCs w:val="20"/>
        </w:rPr>
        <w:t>.</w:t>
      </w:r>
    </w:p>
  </w:footnote>
  <w:footnote w:id="22">
    <w:p w14:paraId="0F618A02" w14:textId="0E1B7403" w:rsidR="00745F9E" w:rsidRPr="000F221C" w:rsidRDefault="00745F9E" w:rsidP="000F221C">
      <w:pPr>
        <w:pStyle w:val="FootnoteText"/>
        <w:rPr>
          <w:rFonts w:cstheme="minorHAnsi"/>
          <w:sz w:val="20"/>
          <w:szCs w:val="20"/>
        </w:rPr>
      </w:pPr>
      <w:r w:rsidRPr="000F221C">
        <w:rPr>
          <w:rStyle w:val="FootnoteReference"/>
          <w:rFonts w:asciiTheme="minorHAnsi" w:hAnsiTheme="minorHAnsi" w:cstheme="minorHAnsi"/>
          <w:sz w:val="20"/>
          <w:szCs w:val="20"/>
        </w:rPr>
        <w:footnoteRef/>
      </w:r>
      <w:r w:rsidRPr="000F221C">
        <w:rPr>
          <w:rFonts w:cstheme="minorHAnsi"/>
          <w:sz w:val="20"/>
          <w:szCs w:val="20"/>
        </w:rPr>
        <w:t xml:space="preserve"> Business in SIC </w:t>
      </w:r>
      <w:r w:rsidR="000F221C" w:rsidRPr="000F221C">
        <w:rPr>
          <w:rFonts w:cstheme="minorHAnsi"/>
          <w:sz w:val="20"/>
          <w:szCs w:val="20"/>
        </w:rPr>
        <w:t xml:space="preserve">2007 </w:t>
      </w:r>
      <w:r w:rsidR="00613C01">
        <w:rPr>
          <w:rFonts w:cstheme="minorHAnsi"/>
          <w:sz w:val="20"/>
          <w:szCs w:val="20"/>
        </w:rPr>
        <w:t xml:space="preserve">Division 10 – Manufacture of food </w:t>
      </w:r>
      <w:r w:rsidR="002E0716">
        <w:rPr>
          <w:rFonts w:cstheme="minorHAnsi"/>
          <w:sz w:val="20"/>
          <w:szCs w:val="20"/>
        </w:rPr>
        <w:t xml:space="preserve">and food </w:t>
      </w:r>
      <w:r w:rsidR="00613C01">
        <w:rPr>
          <w:rFonts w:cstheme="minorHAnsi"/>
          <w:sz w:val="20"/>
          <w:szCs w:val="20"/>
        </w:rPr>
        <w:t>products.</w:t>
      </w:r>
    </w:p>
  </w:footnote>
  <w:footnote w:id="23">
    <w:p w14:paraId="1783AE25" w14:textId="47B9CAA3" w:rsidR="00E806AC" w:rsidRPr="00E21E48" w:rsidRDefault="00E806AC">
      <w:pPr>
        <w:pStyle w:val="FootnoteText"/>
        <w:rPr>
          <w:rFonts w:cstheme="minorHAnsi"/>
          <w:sz w:val="20"/>
          <w:szCs w:val="20"/>
        </w:rPr>
      </w:pPr>
      <w:r w:rsidRPr="00E806AC">
        <w:rPr>
          <w:rStyle w:val="FootnoteReference"/>
          <w:rFonts w:asciiTheme="minorHAnsi" w:hAnsiTheme="minorHAnsi" w:cstheme="minorHAnsi"/>
          <w:sz w:val="20"/>
          <w:szCs w:val="20"/>
        </w:rPr>
        <w:footnoteRef/>
      </w:r>
      <w:r w:rsidRPr="00E806AC">
        <w:rPr>
          <w:rFonts w:cstheme="minorHAnsi"/>
          <w:sz w:val="20"/>
          <w:szCs w:val="20"/>
        </w:rPr>
        <w:t xml:space="preserve"> We (and DHSC) use the central estimates provide by industry (some provided a range).</w:t>
      </w:r>
    </w:p>
  </w:footnote>
  <w:footnote w:id="24">
    <w:p w14:paraId="3258D96E" w14:textId="0F1679CA" w:rsidR="005A59DB" w:rsidRPr="005A59DB" w:rsidRDefault="005A59DB">
      <w:pPr>
        <w:pStyle w:val="FootnoteText"/>
        <w:rPr>
          <w:rFonts w:ascii="Arial" w:hAnsi="Arial" w:cs="Arial"/>
          <w:sz w:val="20"/>
          <w:szCs w:val="20"/>
        </w:rPr>
      </w:pPr>
      <w:r w:rsidRPr="005A59DB">
        <w:rPr>
          <w:rStyle w:val="FootnoteReference"/>
          <w:rFonts w:ascii="Arial" w:hAnsi="Arial" w:cs="Arial"/>
          <w:sz w:val="20"/>
          <w:szCs w:val="20"/>
        </w:rPr>
        <w:footnoteRef/>
      </w:r>
      <w:r w:rsidRPr="005A59DB">
        <w:rPr>
          <w:rFonts w:ascii="Arial" w:hAnsi="Arial" w:cs="Arial"/>
          <w:sz w:val="20"/>
          <w:szCs w:val="20"/>
        </w:rPr>
        <w:t xml:space="preserve"> See </w:t>
      </w:r>
      <w:r w:rsidRPr="005A59DB">
        <w:rPr>
          <w:rFonts w:ascii="Arial" w:hAnsi="Arial" w:cs="Arial"/>
          <w:sz w:val="20"/>
          <w:szCs w:val="20"/>
        </w:rPr>
        <w:fldChar w:fldCharType="begin"/>
      </w:r>
      <w:r w:rsidRPr="005A59DB">
        <w:rPr>
          <w:rFonts w:ascii="Arial" w:hAnsi="Arial" w:cs="Arial"/>
          <w:sz w:val="20"/>
          <w:szCs w:val="20"/>
        </w:rPr>
        <w:instrText xml:space="preserve"> REF _Ref146271310 \h  \* MERGEFORMAT </w:instrText>
      </w:r>
      <w:r w:rsidRPr="005A59DB">
        <w:rPr>
          <w:rFonts w:ascii="Arial" w:hAnsi="Arial" w:cs="Arial"/>
          <w:sz w:val="20"/>
          <w:szCs w:val="20"/>
        </w:rPr>
      </w:r>
      <w:r w:rsidRPr="005A59DB">
        <w:rPr>
          <w:rFonts w:ascii="Arial" w:hAnsi="Arial" w:cs="Arial"/>
          <w:sz w:val="20"/>
          <w:szCs w:val="20"/>
        </w:rPr>
        <w:fldChar w:fldCharType="separate"/>
      </w:r>
      <w:r w:rsidRPr="005A59DB">
        <w:rPr>
          <w:rFonts w:ascii="Arial" w:hAnsi="Arial" w:cs="Arial"/>
          <w:sz w:val="20"/>
          <w:szCs w:val="20"/>
        </w:rPr>
        <w:t xml:space="preserve">Table </w:t>
      </w:r>
      <w:r w:rsidRPr="005A59DB">
        <w:rPr>
          <w:rFonts w:ascii="Arial" w:hAnsi="Arial" w:cs="Arial"/>
          <w:noProof/>
          <w:sz w:val="20"/>
          <w:szCs w:val="20"/>
        </w:rPr>
        <w:t>17</w:t>
      </w:r>
      <w:r w:rsidRPr="005A59DB">
        <w:rPr>
          <w:rFonts w:ascii="Arial" w:hAnsi="Arial" w:cs="Arial"/>
          <w:sz w:val="20"/>
          <w:szCs w:val="20"/>
        </w:rPr>
        <w:fldChar w:fldCharType="end"/>
      </w:r>
      <w:r w:rsidRPr="005A59DB">
        <w:rPr>
          <w:rFonts w:ascii="Arial" w:hAnsi="Arial" w:cs="Arial"/>
          <w:sz w:val="20"/>
          <w:szCs w:val="20"/>
        </w:rPr>
        <w:t xml:space="preserve"> for the total number of UK millers in 2022.</w:t>
      </w:r>
    </w:p>
  </w:footnote>
  <w:footnote w:id="25">
    <w:p w14:paraId="76581B1F" w14:textId="66C17275" w:rsidR="00984859" w:rsidRPr="00984859" w:rsidRDefault="00984859">
      <w:pPr>
        <w:pStyle w:val="FootnoteText"/>
        <w:rPr>
          <w:rFonts w:ascii="Arial" w:hAnsi="Arial" w:cs="Arial"/>
          <w:sz w:val="20"/>
          <w:szCs w:val="20"/>
        </w:rPr>
      </w:pPr>
      <w:r w:rsidRPr="00984859">
        <w:rPr>
          <w:rStyle w:val="FootnoteReference"/>
          <w:rFonts w:ascii="Arial" w:hAnsi="Arial" w:cs="Arial"/>
          <w:sz w:val="20"/>
          <w:szCs w:val="20"/>
        </w:rPr>
        <w:footnoteRef/>
      </w:r>
      <w:r w:rsidRPr="00984859">
        <w:rPr>
          <w:rFonts w:ascii="Arial" w:hAnsi="Arial" w:cs="Arial"/>
          <w:sz w:val="20"/>
          <w:szCs w:val="20"/>
        </w:rPr>
        <w:t xml:space="preserve"> Pre-impact assessment information from premix manufacturer.</w:t>
      </w:r>
    </w:p>
  </w:footnote>
  <w:footnote w:id="26">
    <w:p w14:paraId="1D4CE4F8" w14:textId="77777777" w:rsidR="00175397" w:rsidRPr="00B77EF2" w:rsidRDefault="00175397" w:rsidP="00175397">
      <w:pPr>
        <w:pStyle w:val="FootnoteText"/>
        <w:rPr>
          <w:sz w:val="20"/>
          <w:szCs w:val="20"/>
        </w:rPr>
      </w:pPr>
      <w:r w:rsidRPr="00B77EF2">
        <w:rPr>
          <w:rStyle w:val="FootnoteReference"/>
          <w:rFonts w:asciiTheme="minorHAnsi" w:hAnsiTheme="minorHAnsi" w:cstheme="minorHAnsi"/>
          <w:sz w:val="20"/>
          <w:szCs w:val="20"/>
        </w:rPr>
        <w:footnoteRef/>
      </w:r>
      <w:r w:rsidRPr="00B77EF2">
        <w:rPr>
          <w:rFonts w:cstheme="minorHAnsi"/>
          <w:sz w:val="20"/>
          <w:szCs w:val="20"/>
        </w:rPr>
        <w:t xml:space="preserve"> The quarry</w:t>
      </w:r>
      <w:r w:rsidRPr="00B77EF2">
        <w:rPr>
          <w:sz w:val="20"/>
          <w:szCs w:val="20"/>
        </w:rPr>
        <w:t xml:space="preserve"> producing the calcium carbonate in the England stopped producing calcium carbonate for human consumption after this date.</w:t>
      </w:r>
    </w:p>
  </w:footnote>
  <w:footnote w:id="27">
    <w:p w14:paraId="574D211B" w14:textId="229A7BEA" w:rsidR="00B22885" w:rsidRPr="00E21E48" w:rsidRDefault="00B22885">
      <w:pPr>
        <w:pStyle w:val="FootnoteText"/>
        <w:rPr>
          <w:rFonts w:cstheme="minorHAnsi"/>
          <w:sz w:val="20"/>
          <w:szCs w:val="20"/>
        </w:rPr>
      </w:pPr>
      <w:r w:rsidRPr="009403B2">
        <w:rPr>
          <w:rStyle w:val="FootnoteReference"/>
          <w:rFonts w:asciiTheme="minorHAnsi" w:hAnsiTheme="minorHAnsi" w:cstheme="minorHAnsi"/>
          <w:sz w:val="20"/>
          <w:szCs w:val="20"/>
        </w:rPr>
        <w:footnoteRef/>
      </w:r>
      <w:r w:rsidRPr="009403B2">
        <w:rPr>
          <w:rFonts w:cstheme="minorHAnsi"/>
          <w:sz w:val="20"/>
          <w:szCs w:val="20"/>
        </w:rPr>
        <w:t xml:space="preserve"> If we do calculate it this way, we’d estimate a NWWF production from small-scale millers in Scotland of 13,300 tonnes annually, an order of magnitude more than the TCMG </w:t>
      </w:r>
      <w:r w:rsidR="004C17BC">
        <w:rPr>
          <w:rFonts w:cstheme="minorHAnsi"/>
          <w:sz w:val="20"/>
          <w:szCs w:val="20"/>
        </w:rPr>
        <w:t>data</w:t>
      </w:r>
      <w:r w:rsidR="003C549F">
        <w:rPr>
          <w:rFonts w:cstheme="minorHAnsi"/>
          <w:sz w:val="20"/>
          <w:szCs w:val="20"/>
        </w:rPr>
        <w:t xml:space="preserve"> for the UK as a whole</w:t>
      </w:r>
      <w:r w:rsidRPr="009403B2">
        <w:rPr>
          <w:rFonts w:cstheme="minorHAnsi"/>
          <w:sz w:val="20"/>
          <w:szCs w:val="20"/>
        </w:rPr>
        <w:t>.</w:t>
      </w:r>
    </w:p>
  </w:footnote>
</w:footnotes>
</file>

<file path=word/intelligence2.xml><?xml version="1.0" encoding="utf-8"?>
<int2:intelligence xmlns:int2="http://schemas.microsoft.com/office/intelligence/2020/intelligence" xmlns:oel="http://schemas.microsoft.com/office/2019/extlst">
  <int2:observations>
    <int2:textHash int2:hashCode="n//GiGlqXkz1jt" int2:id="qyk2tmPF">
      <int2:state int2:value="Rejected" int2:type="AugLoop_Text_Critique"/>
    </int2:textHash>
    <int2:textHash int2:hashCode="ymQVl2t8Khng6U" int2:id="KPZcyeKU">
      <int2:state int2:value="Rejected" int2:type="AugLoop_Text_Critique"/>
    </int2:textHash>
    <int2:textHash int2:hashCode="7KuKFGwi5/jOs+" int2:id="OUjLtVZi">
      <int2:state int2:value="Rejected" int2:type="AugLoop_Text_Critique"/>
    </int2:textHash>
    <int2:textHash int2:hashCode="cT3J30LUWiO9Vl" int2:id="RoHrFrSz">
      <int2:state int2:value="Rejected" int2:type="AugLoop_Text_Critique"/>
    </int2:textHash>
    <int2:textHash int2:hashCode="7YrU4JD5BVI595" int2:id="SXdwGEw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266E"/>
    <w:multiLevelType w:val="hybridMultilevel"/>
    <w:tmpl w:val="0B8A0382"/>
    <w:lvl w:ilvl="0" w:tplc="D0C47D70">
      <w:start w:val="1"/>
      <w:numFmt w:val="bullet"/>
      <w:lvlText w:val=""/>
      <w:lvlJc w:val="left"/>
      <w:pPr>
        <w:ind w:left="1440" w:hanging="360"/>
      </w:pPr>
      <w:rPr>
        <w:rFonts w:ascii="Symbol" w:hAnsi="Symbol"/>
      </w:rPr>
    </w:lvl>
    <w:lvl w:ilvl="1" w:tplc="A0C42AB0">
      <w:start w:val="1"/>
      <w:numFmt w:val="bullet"/>
      <w:lvlText w:val=""/>
      <w:lvlJc w:val="left"/>
      <w:pPr>
        <w:ind w:left="1440" w:hanging="360"/>
      </w:pPr>
      <w:rPr>
        <w:rFonts w:ascii="Symbol" w:hAnsi="Symbol"/>
      </w:rPr>
    </w:lvl>
    <w:lvl w:ilvl="2" w:tplc="1E1C8480">
      <w:start w:val="1"/>
      <w:numFmt w:val="bullet"/>
      <w:lvlText w:val=""/>
      <w:lvlJc w:val="left"/>
      <w:pPr>
        <w:ind w:left="1440" w:hanging="360"/>
      </w:pPr>
      <w:rPr>
        <w:rFonts w:ascii="Symbol" w:hAnsi="Symbol"/>
      </w:rPr>
    </w:lvl>
    <w:lvl w:ilvl="3" w:tplc="BD8C5D06">
      <w:start w:val="1"/>
      <w:numFmt w:val="bullet"/>
      <w:lvlText w:val=""/>
      <w:lvlJc w:val="left"/>
      <w:pPr>
        <w:ind w:left="1440" w:hanging="360"/>
      </w:pPr>
      <w:rPr>
        <w:rFonts w:ascii="Symbol" w:hAnsi="Symbol"/>
      </w:rPr>
    </w:lvl>
    <w:lvl w:ilvl="4" w:tplc="41A6D8CE">
      <w:start w:val="1"/>
      <w:numFmt w:val="bullet"/>
      <w:lvlText w:val=""/>
      <w:lvlJc w:val="left"/>
      <w:pPr>
        <w:ind w:left="1440" w:hanging="360"/>
      </w:pPr>
      <w:rPr>
        <w:rFonts w:ascii="Symbol" w:hAnsi="Symbol"/>
      </w:rPr>
    </w:lvl>
    <w:lvl w:ilvl="5" w:tplc="E94A4DB6">
      <w:start w:val="1"/>
      <w:numFmt w:val="bullet"/>
      <w:lvlText w:val=""/>
      <w:lvlJc w:val="left"/>
      <w:pPr>
        <w:ind w:left="1440" w:hanging="360"/>
      </w:pPr>
      <w:rPr>
        <w:rFonts w:ascii="Symbol" w:hAnsi="Symbol"/>
      </w:rPr>
    </w:lvl>
    <w:lvl w:ilvl="6" w:tplc="D012D180">
      <w:start w:val="1"/>
      <w:numFmt w:val="bullet"/>
      <w:lvlText w:val=""/>
      <w:lvlJc w:val="left"/>
      <w:pPr>
        <w:ind w:left="1440" w:hanging="360"/>
      </w:pPr>
      <w:rPr>
        <w:rFonts w:ascii="Symbol" w:hAnsi="Symbol"/>
      </w:rPr>
    </w:lvl>
    <w:lvl w:ilvl="7" w:tplc="9F6A299A">
      <w:start w:val="1"/>
      <w:numFmt w:val="bullet"/>
      <w:lvlText w:val=""/>
      <w:lvlJc w:val="left"/>
      <w:pPr>
        <w:ind w:left="1440" w:hanging="360"/>
      </w:pPr>
      <w:rPr>
        <w:rFonts w:ascii="Symbol" w:hAnsi="Symbol"/>
      </w:rPr>
    </w:lvl>
    <w:lvl w:ilvl="8" w:tplc="645CADD6">
      <w:start w:val="1"/>
      <w:numFmt w:val="bullet"/>
      <w:lvlText w:val=""/>
      <w:lvlJc w:val="left"/>
      <w:pPr>
        <w:ind w:left="1440" w:hanging="360"/>
      </w:pPr>
      <w:rPr>
        <w:rFonts w:ascii="Symbol" w:hAnsi="Symbol"/>
      </w:rPr>
    </w:lvl>
  </w:abstractNum>
  <w:abstractNum w:abstractNumId="1" w15:restartNumberingAfterBreak="0">
    <w:nsid w:val="026471CF"/>
    <w:multiLevelType w:val="hybridMultilevel"/>
    <w:tmpl w:val="D724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41D8"/>
    <w:multiLevelType w:val="hybridMultilevel"/>
    <w:tmpl w:val="A0D0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A029E"/>
    <w:multiLevelType w:val="hybridMultilevel"/>
    <w:tmpl w:val="27A8E288"/>
    <w:lvl w:ilvl="0" w:tplc="1BD86DCA">
      <w:start w:val="1"/>
      <w:numFmt w:val="bullet"/>
      <w:lvlText w:val=""/>
      <w:lvlJc w:val="left"/>
      <w:pPr>
        <w:ind w:left="720" w:hanging="360"/>
      </w:pPr>
      <w:rPr>
        <w:rFonts w:ascii="Symbol" w:hAnsi="Symbol"/>
      </w:rPr>
    </w:lvl>
    <w:lvl w:ilvl="1" w:tplc="56882428">
      <w:start w:val="1"/>
      <w:numFmt w:val="bullet"/>
      <w:lvlText w:val=""/>
      <w:lvlJc w:val="left"/>
      <w:pPr>
        <w:ind w:left="720" w:hanging="360"/>
      </w:pPr>
      <w:rPr>
        <w:rFonts w:ascii="Symbol" w:hAnsi="Symbol"/>
      </w:rPr>
    </w:lvl>
    <w:lvl w:ilvl="2" w:tplc="67A46070">
      <w:start w:val="1"/>
      <w:numFmt w:val="bullet"/>
      <w:lvlText w:val=""/>
      <w:lvlJc w:val="left"/>
      <w:pPr>
        <w:ind w:left="720" w:hanging="360"/>
      </w:pPr>
      <w:rPr>
        <w:rFonts w:ascii="Symbol" w:hAnsi="Symbol"/>
      </w:rPr>
    </w:lvl>
    <w:lvl w:ilvl="3" w:tplc="2DA8E578">
      <w:start w:val="1"/>
      <w:numFmt w:val="bullet"/>
      <w:lvlText w:val=""/>
      <w:lvlJc w:val="left"/>
      <w:pPr>
        <w:ind w:left="720" w:hanging="360"/>
      </w:pPr>
      <w:rPr>
        <w:rFonts w:ascii="Symbol" w:hAnsi="Symbol"/>
      </w:rPr>
    </w:lvl>
    <w:lvl w:ilvl="4" w:tplc="CCF4678E">
      <w:start w:val="1"/>
      <w:numFmt w:val="bullet"/>
      <w:lvlText w:val=""/>
      <w:lvlJc w:val="left"/>
      <w:pPr>
        <w:ind w:left="720" w:hanging="360"/>
      </w:pPr>
      <w:rPr>
        <w:rFonts w:ascii="Symbol" w:hAnsi="Symbol"/>
      </w:rPr>
    </w:lvl>
    <w:lvl w:ilvl="5" w:tplc="214A907E">
      <w:start w:val="1"/>
      <w:numFmt w:val="bullet"/>
      <w:lvlText w:val=""/>
      <w:lvlJc w:val="left"/>
      <w:pPr>
        <w:ind w:left="720" w:hanging="360"/>
      </w:pPr>
      <w:rPr>
        <w:rFonts w:ascii="Symbol" w:hAnsi="Symbol"/>
      </w:rPr>
    </w:lvl>
    <w:lvl w:ilvl="6" w:tplc="CCCC561E">
      <w:start w:val="1"/>
      <w:numFmt w:val="bullet"/>
      <w:lvlText w:val=""/>
      <w:lvlJc w:val="left"/>
      <w:pPr>
        <w:ind w:left="720" w:hanging="360"/>
      </w:pPr>
      <w:rPr>
        <w:rFonts w:ascii="Symbol" w:hAnsi="Symbol"/>
      </w:rPr>
    </w:lvl>
    <w:lvl w:ilvl="7" w:tplc="1ABC0AA8">
      <w:start w:val="1"/>
      <w:numFmt w:val="bullet"/>
      <w:lvlText w:val=""/>
      <w:lvlJc w:val="left"/>
      <w:pPr>
        <w:ind w:left="720" w:hanging="360"/>
      </w:pPr>
      <w:rPr>
        <w:rFonts w:ascii="Symbol" w:hAnsi="Symbol"/>
      </w:rPr>
    </w:lvl>
    <w:lvl w:ilvl="8" w:tplc="338E1A40">
      <w:start w:val="1"/>
      <w:numFmt w:val="bullet"/>
      <w:lvlText w:val=""/>
      <w:lvlJc w:val="left"/>
      <w:pPr>
        <w:ind w:left="720" w:hanging="360"/>
      </w:pPr>
      <w:rPr>
        <w:rFonts w:ascii="Symbol" w:hAnsi="Symbol"/>
      </w:rPr>
    </w:lvl>
  </w:abstractNum>
  <w:abstractNum w:abstractNumId="4" w15:restartNumberingAfterBreak="0">
    <w:nsid w:val="0F310385"/>
    <w:multiLevelType w:val="hybridMultilevel"/>
    <w:tmpl w:val="C5A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80A29"/>
    <w:multiLevelType w:val="hybridMultilevel"/>
    <w:tmpl w:val="0E6EE862"/>
    <w:lvl w:ilvl="0" w:tplc="A3CC4CF8">
      <w:start w:val="1"/>
      <w:numFmt w:val="bullet"/>
      <w:lvlText w:val=""/>
      <w:lvlJc w:val="left"/>
      <w:pPr>
        <w:ind w:left="1440" w:hanging="360"/>
      </w:pPr>
      <w:rPr>
        <w:rFonts w:ascii="Symbol" w:hAnsi="Symbol"/>
      </w:rPr>
    </w:lvl>
    <w:lvl w:ilvl="1" w:tplc="3CF25EF0">
      <w:start w:val="1"/>
      <w:numFmt w:val="bullet"/>
      <w:lvlText w:val=""/>
      <w:lvlJc w:val="left"/>
      <w:pPr>
        <w:ind w:left="1440" w:hanging="360"/>
      </w:pPr>
      <w:rPr>
        <w:rFonts w:ascii="Symbol" w:hAnsi="Symbol"/>
      </w:rPr>
    </w:lvl>
    <w:lvl w:ilvl="2" w:tplc="8376E3D8">
      <w:start w:val="1"/>
      <w:numFmt w:val="bullet"/>
      <w:lvlText w:val=""/>
      <w:lvlJc w:val="left"/>
      <w:pPr>
        <w:ind w:left="1440" w:hanging="360"/>
      </w:pPr>
      <w:rPr>
        <w:rFonts w:ascii="Symbol" w:hAnsi="Symbol"/>
      </w:rPr>
    </w:lvl>
    <w:lvl w:ilvl="3" w:tplc="64DCE37C">
      <w:start w:val="1"/>
      <w:numFmt w:val="bullet"/>
      <w:lvlText w:val=""/>
      <w:lvlJc w:val="left"/>
      <w:pPr>
        <w:ind w:left="1440" w:hanging="360"/>
      </w:pPr>
      <w:rPr>
        <w:rFonts w:ascii="Symbol" w:hAnsi="Symbol"/>
      </w:rPr>
    </w:lvl>
    <w:lvl w:ilvl="4" w:tplc="9A064F10">
      <w:start w:val="1"/>
      <w:numFmt w:val="bullet"/>
      <w:lvlText w:val=""/>
      <w:lvlJc w:val="left"/>
      <w:pPr>
        <w:ind w:left="1440" w:hanging="360"/>
      </w:pPr>
      <w:rPr>
        <w:rFonts w:ascii="Symbol" w:hAnsi="Symbol"/>
      </w:rPr>
    </w:lvl>
    <w:lvl w:ilvl="5" w:tplc="8B3270EA">
      <w:start w:val="1"/>
      <w:numFmt w:val="bullet"/>
      <w:lvlText w:val=""/>
      <w:lvlJc w:val="left"/>
      <w:pPr>
        <w:ind w:left="1440" w:hanging="360"/>
      </w:pPr>
      <w:rPr>
        <w:rFonts w:ascii="Symbol" w:hAnsi="Symbol"/>
      </w:rPr>
    </w:lvl>
    <w:lvl w:ilvl="6" w:tplc="22EC3E40">
      <w:start w:val="1"/>
      <w:numFmt w:val="bullet"/>
      <w:lvlText w:val=""/>
      <w:lvlJc w:val="left"/>
      <w:pPr>
        <w:ind w:left="1440" w:hanging="360"/>
      </w:pPr>
      <w:rPr>
        <w:rFonts w:ascii="Symbol" w:hAnsi="Symbol"/>
      </w:rPr>
    </w:lvl>
    <w:lvl w:ilvl="7" w:tplc="6A268AE8">
      <w:start w:val="1"/>
      <w:numFmt w:val="bullet"/>
      <w:lvlText w:val=""/>
      <w:lvlJc w:val="left"/>
      <w:pPr>
        <w:ind w:left="1440" w:hanging="360"/>
      </w:pPr>
      <w:rPr>
        <w:rFonts w:ascii="Symbol" w:hAnsi="Symbol"/>
      </w:rPr>
    </w:lvl>
    <w:lvl w:ilvl="8" w:tplc="6C405326">
      <w:start w:val="1"/>
      <w:numFmt w:val="bullet"/>
      <w:lvlText w:val=""/>
      <w:lvlJc w:val="left"/>
      <w:pPr>
        <w:ind w:left="1440" w:hanging="360"/>
      </w:pPr>
      <w:rPr>
        <w:rFonts w:ascii="Symbol" w:hAnsi="Symbol"/>
      </w:rPr>
    </w:lvl>
  </w:abstractNum>
  <w:abstractNum w:abstractNumId="6" w15:restartNumberingAfterBreak="0">
    <w:nsid w:val="14DA21FC"/>
    <w:multiLevelType w:val="hybridMultilevel"/>
    <w:tmpl w:val="04C0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919DB"/>
    <w:multiLevelType w:val="hybridMultilevel"/>
    <w:tmpl w:val="1FE6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B65A0"/>
    <w:multiLevelType w:val="hybridMultilevel"/>
    <w:tmpl w:val="0436F9AC"/>
    <w:lvl w:ilvl="0" w:tplc="D20CD1E6">
      <w:start w:val="1"/>
      <w:numFmt w:val="bullet"/>
      <w:lvlText w:val="·"/>
      <w:lvlJc w:val="left"/>
      <w:pPr>
        <w:ind w:left="720" w:hanging="360"/>
      </w:pPr>
      <w:rPr>
        <w:rFonts w:ascii="Symbol" w:hAnsi="Symbol" w:hint="default"/>
      </w:rPr>
    </w:lvl>
    <w:lvl w:ilvl="1" w:tplc="DAD8336C">
      <w:start w:val="1"/>
      <w:numFmt w:val="bullet"/>
      <w:lvlText w:val="o"/>
      <w:lvlJc w:val="left"/>
      <w:pPr>
        <w:ind w:left="1440" w:hanging="360"/>
      </w:pPr>
      <w:rPr>
        <w:rFonts w:ascii="Courier New" w:hAnsi="Courier New" w:hint="default"/>
      </w:rPr>
    </w:lvl>
    <w:lvl w:ilvl="2" w:tplc="00680E8A">
      <w:start w:val="1"/>
      <w:numFmt w:val="bullet"/>
      <w:lvlText w:val=""/>
      <w:lvlJc w:val="left"/>
      <w:pPr>
        <w:ind w:left="2160" w:hanging="360"/>
      </w:pPr>
      <w:rPr>
        <w:rFonts w:ascii="Wingdings" w:hAnsi="Wingdings" w:hint="default"/>
      </w:rPr>
    </w:lvl>
    <w:lvl w:ilvl="3" w:tplc="23001D56">
      <w:start w:val="1"/>
      <w:numFmt w:val="bullet"/>
      <w:lvlText w:val=""/>
      <w:lvlJc w:val="left"/>
      <w:pPr>
        <w:ind w:left="2880" w:hanging="360"/>
      </w:pPr>
      <w:rPr>
        <w:rFonts w:ascii="Symbol" w:hAnsi="Symbol" w:hint="default"/>
      </w:rPr>
    </w:lvl>
    <w:lvl w:ilvl="4" w:tplc="CFA2EE70">
      <w:start w:val="1"/>
      <w:numFmt w:val="bullet"/>
      <w:lvlText w:val="o"/>
      <w:lvlJc w:val="left"/>
      <w:pPr>
        <w:ind w:left="3600" w:hanging="360"/>
      </w:pPr>
      <w:rPr>
        <w:rFonts w:ascii="Courier New" w:hAnsi="Courier New" w:hint="default"/>
      </w:rPr>
    </w:lvl>
    <w:lvl w:ilvl="5" w:tplc="EBAE0778">
      <w:start w:val="1"/>
      <w:numFmt w:val="bullet"/>
      <w:lvlText w:val=""/>
      <w:lvlJc w:val="left"/>
      <w:pPr>
        <w:ind w:left="4320" w:hanging="360"/>
      </w:pPr>
      <w:rPr>
        <w:rFonts w:ascii="Wingdings" w:hAnsi="Wingdings" w:hint="default"/>
      </w:rPr>
    </w:lvl>
    <w:lvl w:ilvl="6" w:tplc="01D25322">
      <w:start w:val="1"/>
      <w:numFmt w:val="bullet"/>
      <w:lvlText w:val=""/>
      <w:lvlJc w:val="left"/>
      <w:pPr>
        <w:ind w:left="5040" w:hanging="360"/>
      </w:pPr>
      <w:rPr>
        <w:rFonts w:ascii="Symbol" w:hAnsi="Symbol" w:hint="default"/>
      </w:rPr>
    </w:lvl>
    <w:lvl w:ilvl="7" w:tplc="938E1DE4">
      <w:start w:val="1"/>
      <w:numFmt w:val="bullet"/>
      <w:lvlText w:val="o"/>
      <w:lvlJc w:val="left"/>
      <w:pPr>
        <w:ind w:left="5760" w:hanging="360"/>
      </w:pPr>
      <w:rPr>
        <w:rFonts w:ascii="Courier New" w:hAnsi="Courier New" w:hint="default"/>
      </w:rPr>
    </w:lvl>
    <w:lvl w:ilvl="8" w:tplc="2BFA9E84">
      <w:start w:val="1"/>
      <w:numFmt w:val="bullet"/>
      <w:lvlText w:val=""/>
      <w:lvlJc w:val="left"/>
      <w:pPr>
        <w:ind w:left="6480" w:hanging="360"/>
      </w:pPr>
      <w:rPr>
        <w:rFonts w:ascii="Wingdings" w:hAnsi="Wingdings" w:hint="default"/>
      </w:rPr>
    </w:lvl>
  </w:abstractNum>
  <w:abstractNum w:abstractNumId="9" w15:restartNumberingAfterBreak="0">
    <w:nsid w:val="1C3252DD"/>
    <w:multiLevelType w:val="multilevel"/>
    <w:tmpl w:val="D1100C5C"/>
    <w:lvl w:ilvl="0">
      <w:start w:val="1"/>
      <w:numFmt w:val="decimal"/>
      <w:pStyle w:val="Heading1"/>
      <w:suff w:val="space"/>
      <w:lvlText w:val="%1."/>
      <w:lvlJc w:val="left"/>
      <w:pPr>
        <w:ind w:left="357" w:hanging="357"/>
      </w:pPr>
      <w:rPr>
        <w:rFonts w:hint="default"/>
        <w:b/>
        <w:bCs/>
        <w:i w:val="0"/>
        <w:iCs w:val="0"/>
        <w:sz w:val="32"/>
      </w:rPr>
    </w:lvl>
    <w:lvl w:ilvl="1">
      <w:start w:val="1"/>
      <w:numFmt w:val="decimal"/>
      <w:pStyle w:val="Heading2"/>
      <w:suff w:val="space"/>
      <w:lvlText w:val="%1.%2."/>
      <w:lvlJc w:val="left"/>
      <w:pPr>
        <w:ind w:left="357" w:hanging="357"/>
      </w:pPr>
      <w:rPr>
        <w:rFonts w:hint="default"/>
        <w:b/>
        <w:i w:val="0"/>
        <w:sz w:val="28"/>
        <w:szCs w:val="28"/>
      </w:rPr>
    </w:lvl>
    <w:lvl w:ilvl="2">
      <w:start w:val="1"/>
      <w:numFmt w:val="decimal"/>
      <w:pStyle w:val="Heading3"/>
      <w:suff w:val="space"/>
      <w:lvlText w:val="%1.%2.%3."/>
      <w:lvlJc w:val="left"/>
      <w:pPr>
        <w:ind w:left="357" w:hanging="357"/>
      </w:pPr>
      <w:rPr>
        <w:rFonts w:hint="default"/>
        <w:b w:val="0"/>
        <w:bCs w:val="0"/>
        <w:i w:val="0"/>
        <w:iCs w:val="0"/>
        <w:color w:val="000000" w:themeColor="text1"/>
        <w:u w:val="single"/>
      </w:rPr>
    </w:lvl>
    <w:lvl w:ilvl="3">
      <w:start w:val="1"/>
      <w:numFmt w:val="decimal"/>
      <w:pStyle w:val="Heading4"/>
      <w:suff w:val="space"/>
      <w:lvlText w:val="%1.%2.%3.%4"/>
      <w:lvlJc w:val="left"/>
      <w:pPr>
        <w:ind w:left="357" w:hanging="357"/>
      </w:pPr>
      <w:rPr>
        <w:rFonts w:ascii="Arial" w:hAnsi="Arial" w:hint="default"/>
        <w:b w:val="0"/>
        <w:i w:val="0"/>
        <w:color w:val="auto"/>
        <w:sz w:val="24"/>
        <w:u w:val="single" w:color="245266" w:themeColor="accent3"/>
      </w:rPr>
    </w:lvl>
    <w:lvl w:ilvl="4">
      <w:start w:val="1"/>
      <w:numFmt w:val="decimal"/>
      <w:pStyle w:val="Heading5"/>
      <w:suff w:val="space"/>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 w15:restartNumberingAfterBreak="0">
    <w:nsid w:val="1D033BC9"/>
    <w:multiLevelType w:val="hybridMultilevel"/>
    <w:tmpl w:val="7B5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94F17"/>
    <w:multiLevelType w:val="hybridMultilevel"/>
    <w:tmpl w:val="5B8462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A4A16"/>
    <w:multiLevelType w:val="hybridMultilevel"/>
    <w:tmpl w:val="FBAA429E"/>
    <w:lvl w:ilvl="0" w:tplc="3530C7B6">
      <w:start w:val="1"/>
      <w:numFmt w:val="bullet"/>
      <w:lvlText w:val=""/>
      <w:lvlJc w:val="left"/>
      <w:pPr>
        <w:ind w:left="1440" w:hanging="360"/>
      </w:pPr>
      <w:rPr>
        <w:rFonts w:ascii="Symbol" w:hAnsi="Symbol"/>
      </w:rPr>
    </w:lvl>
    <w:lvl w:ilvl="1" w:tplc="07ACB30C">
      <w:start w:val="1"/>
      <w:numFmt w:val="bullet"/>
      <w:lvlText w:val=""/>
      <w:lvlJc w:val="left"/>
      <w:pPr>
        <w:ind w:left="1440" w:hanging="360"/>
      </w:pPr>
      <w:rPr>
        <w:rFonts w:ascii="Symbol" w:hAnsi="Symbol"/>
      </w:rPr>
    </w:lvl>
    <w:lvl w:ilvl="2" w:tplc="76AE8C7E">
      <w:start w:val="1"/>
      <w:numFmt w:val="bullet"/>
      <w:lvlText w:val=""/>
      <w:lvlJc w:val="left"/>
      <w:pPr>
        <w:ind w:left="1440" w:hanging="360"/>
      </w:pPr>
      <w:rPr>
        <w:rFonts w:ascii="Symbol" w:hAnsi="Symbol"/>
      </w:rPr>
    </w:lvl>
    <w:lvl w:ilvl="3" w:tplc="3AA057C6">
      <w:start w:val="1"/>
      <w:numFmt w:val="bullet"/>
      <w:lvlText w:val=""/>
      <w:lvlJc w:val="left"/>
      <w:pPr>
        <w:ind w:left="1440" w:hanging="360"/>
      </w:pPr>
      <w:rPr>
        <w:rFonts w:ascii="Symbol" w:hAnsi="Symbol"/>
      </w:rPr>
    </w:lvl>
    <w:lvl w:ilvl="4" w:tplc="DE0882E6">
      <w:start w:val="1"/>
      <w:numFmt w:val="bullet"/>
      <w:lvlText w:val=""/>
      <w:lvlJc w:val="left"/>
      <w:pPr>
        <w:ind w:left="1440" w:hanging="360"/>
      </w:pPr>
      <w:rPr>
        <w:rFonts w:ascii="Symbol" w:hAnsi="Symbol"/>
      </w:rPr>
    </w:lvl>
    <w:lvl w:ilvl="5" w:tplc="11B22CC8">
      <w:start w:val="1"/>
      <w:numFmt w:val="bullet"/>
      <w:lvlText w:val=""/>
      <w:lvlJc w:val="left"/>
      <w:pPr>
        <w:ind w:left="1440" w:hanging="360"/>
      </w:pPr>
      <w:rPr>
        <w:rFonts w:ascii="Symbol" w:hAnsi="Symbol"/>
      </w:rPr>
    </w:lvl>
    <w:lvl w:ilvl="6" w:tplc="47DA0B2C">
      <w:start w:val="1"/>
      <w:numFmt w:val="bullet"/>
      <w:lvlText w:val=""/>
      <w:lvlJc w:val="left"/>
      <w:pPr>
        <w:ind w:left="1440" w:hanging="360"/>
      </w:pPr>
      <w:rPr>
        <w:rFonts w:ascii="Symbol" w:hAnsi="Symbol"/>
      </w:rPr>
    </w:lvl>
    <w:lvl w:ilvl="7" w:tplc="FCCCC1B6">
      <w:start w:val="1"/>
      <w:numFmt w:val="bullet"/>
      <w:lvlText w:val=""/>
      <w:lvlJc w:val="left"/>
      <w:pPr>
        <w:ind w:left="1440" w:hanging="360"/>
      </w:pPr>
      <w:rPr>
        <w:rFonts w:ascii="Symbol" w:hAnsi="Symbol"/>
      </w:rPr>
    </w:lvl>
    <w:lvl w:ilvl="8" w:tplc="E5A21EA6">
      <w:start w:val="1"/>
      <w:numFmt w:val="bullet"/>
      <w:lvlText w:val=""/>
      <w:lvlJc w:val="left"/>
      <w:pPr>
        <w:ind w:left="1440" w:hanging="360"/>
      </w:pPr>
      <w:rPr>
        <w:rFonts w:ascii="Symbol" w:hAnsi="Symbol"/>
      </w:rPr>
    </w:lvl>
  </w:abstractNum>
  <w:abstractNum w:abstractNumId="13" w15:restartNumberingAfterBreak="0">
    <w:nsid w:val="2431163B"/>
    <w:multiLevelType w:val="multilevel"/>
    <w:tmpl w:val="D780DE4C"/>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519792D"/>
    <w:multiLevelType w:val="hybridMultilevel"/>
    <w:tmpl w:val="E64C89B8"/>
    <w:lvl w:ilvl="0" w:tplc="DA3A8EFE">
      <w:start w:val="1"/>
      <w:numFmt w:val="bullet"/>
      <w:lvlText w:val=""/>
      <w:lvlJc w:val="left"/>
      <w:pPr>
        <w:ind w:left="1440" w:hanging="360"/>
      </w:pPr>
      <w:rPr>
        <w:rFonts w:ascii="Symbol" w:hAnsi="Symbol"/>
      </w:rPr>
    </w:lvl>
    <w:lvl w:ilvl="1" w:tplc="3050BF1A">
      <w:start w:val="1"/>
      <w:numFmt w:val="bullet"/>
      <w:lvlText w:val=""/>
      <w:lvlJc w:val="left"/>
      <w:pPr>
        <w:ind w:left="1440" w:hanging="360"/>
      </w:pPr>
      <w:rPr>
        <w:rFonts w:ascii="Symbol" w:hAnsi="Symbol"/>
      </w:rPr>
    </w:lvl>
    <w:lvl w:ilvl="2" w:tplc="E93AE698">
      <w:start w:val="1"/>
      <w:numFmt w:val="bullet"/>
      <w:lvlText w:val=""/>
      <w:lvlJc w:val="left"/>
      <w:pPr>
        <w:ind w:left="1440" w:hanging="360"/>
      </w:pPr>
      <w:rPr>
        <w:rFonts w:ascii="Symbol" w:hAnsi="Symbol"/>
      </w:rPr>
    </w:lvl>
    <w:lvl w:ilvl="3" w:tplc="F3DA98CC">
      <w:start w:val="1"/>
      <w:numFmt w:val="bullet"/>
      <w:lvlText w:val=""/>
      <w:lvlJc w:val="left"/>
      <w:pPr>
        <w:ind w:left="1440" w:hanging="360"/>
      </w:pPr>
      <w:rPr>
        <w:rFonts w:ascii="Symbol" w:hAnsi="Symbol"/>
      </w:rPr>
    </w:lvl>
    <w:lvl w:ilvl="4" w:tplc="614284E8">
      <w:start w:val="1"/>
      <w:numFmt w:val="bullet"/>
      <w:lvlText w:val=""/>
      <w:lvlJc w:val="left"/>
      <w:pPr>
        <w:ind w:left="1440" w:hanging="360"/>
      </w:pPr>
      <w:rPr>
        <w:rFonts w:ascii="Symbol" w:hAnsi="Symbol"/>
      </w:rPr>
    </w:lvl>
    <w:lvl w:ilvl="5" w:tplc="4FAA7E8C">
      <w:start w:val="1"/>
      <w:numFmt w:val="bullet"/>
      <w:lvlText w:val=""/>
      <w:lvlJc w:val="left"/>
      <w:pPr>
        <w:ind w:left="1440" w:hanging="360"/>
      </w:pPr>
      <w:rPr>
        <w:rFonts w:ascii="Symbol" w:hAnsi="Symbol"/>
      </w:rPr>
    </w:lvl>
    <w:lvl w:ilvl="6" w:tplc="288AB4BC">
      <w:start w:val="1"/>
      <w:numFmt w:val="bullet"/>
      <w:lvlText w:val=""/>
      <w:lvlJc w:val="left"/>
      <w:pPr>
        <w:ind w:left="1440" w:hanging="360"/>
      </w:pPr>
      <w:rPr>
        <w:rFonts w:ascii="Symbol" w:hAnsi="Symbol"/>
      </w:rPr>
    </w:lvl>
    <w:lvl w:ilvl="7" w:tplc="2B547D52">
      <w:start w:val="1"/>
      <w:numFmt w:val="bullet"/>
      <w:lvlText w:val=""/>
      <w:lvlJc w:val="left"/>
      <w:pPr>
        <w:ind w:left="1440" w:hanging="360"/>
      </w:pPr>
      <w:rPr>
        <w:rFonts w:ascii="Symbol" w:hAnsi="Symbol"/>
      </w:rPr>
    </w:lvl>
    <w:lvl w:ilvl="8" w:tplc="4F003C5E">
      <w:start w:val="1"/>
      <w:numFmt w:val="bullet"/>
      <w:lvlText w:val=""/>
      <w:lvlJc w:val="left"/>
      <w:pPr>
        <w:ind w:left="1440" w:hanging="360"/>
      </w:pPr>
      <w:rPr>
        <w:rFonts w:ascii="Symbol" w:hAnsi="Symbol"/>
      </w:rPr>
    </w:lvl>
  </w:abstractNum>
  <w:abstractNum w:abstractNumId="15" w15:restartNumberingAfterBreak="0">
    <w:nsid w:val="26C22AF8"/>
    <w:multiLevelType w:val="hybridMultilevel"/>
    <w:tmpl w:val="3FD64A4E"/>
    <w:lvl w:ilvl="0" w:tplc="0CEE587A">
      <w:start w:val="1"/>
      <w:numFmt w:val="bullet"/>
      <w:lvlText w:val=""/>
      <w:lvlJc w:val="left"/>
      <w:pPr>
        <w:ind w:left="1440" w:hanging="360"/>
      </w:pPr>
      <w:rPr>
        <w:rFonts w:ascii="Symbol" w:hAnsi="Symbol"/>
      </w:rPr>
    </w:lvl>
    <w:lvl w:ilvl="1" w:tplc="D13ECAB6">
      <w:start w:val="1"/>
      <w:numFmt w:val="bullet"/>
      <w:lvlText w:val=""/>
      <w:lvlJc w:val="left"/>
      <w:pPr>
        <w:ind w:left="1440" w:hanging="360"/>
      </w:pPr>
      <w:rPr>
        <w:rFonts w:ascii="Symbol" w:hAnsi="Symbol"/>
      </w:rPr>
    </w:lvl>
    <w:lvl w:ilvl="2" w:tplc="56E88810">
      <w:start w:val="1"/>
      <w:numFmt w:val="bullet"/>
      <w:lvlText w:val=""/>
      <w:lvlJc w:val="left"/>
      <w:pPr>
        <w:ind w:left="1440" w:hanging="360"/>
      </w:pPr>
      <w:rPr>
        <w:rFonts w:ascii="Symbol" w:hAnsi="Symbol"/>
      </w:rPr>
    </w:lvl>
    <w:lvl w:ilvl="3" w:tplc="5BBA8B2C">
      <w:start w:val="1"/>
      <w:numFmt w:val="bullet"/>
      <w:lvlText w:val=""/>
      <w:lvlJc w:val="left"/>
      <w:pPr>
        <w:ind w:left="1440" w:hanging="360"/>
      </w:pPr>
      <w:rPr>
        <w:rFonts w:ascii="Symbol" w:hAnsi="Symbol"/>
      </w:rPr>
    </w:lvl>
    <w:lvl w:ilvl="4" w:tplc="B628A462">
      <w:start w:val="1"/>
      <w:numFmt w:val="bullet"/>
      <w:lvlText w:val=""/>
      <w:lvlJc w:val="left"/>
      <w:pPr>
        <w:ind w:left="1440" w:hanging="360"/>
      </w:pPr>
      <w:rPr>
        <w:rFonts w:ascii="Symbol" w:hAnsi="Symbol"/>
      </w:rPr>
    </w:lvl>
    <w:lvl w:ilvl="5" w:tplc="BBE49792">
      <w:start w:val="1"/>
      <w:numFmt w:val="bullet"/>
      <w:lvlText w:val=""/>
      <w:lvlJc w:val="left"/>
      <w:pPr>
        <w:ind w:left="1440" w:hanging="360"/>
      </w:pPr>
      <w:rPr>
        <w:rFonts w:ascii="Symbol" w:hAnsi="Symbol"/>
      </w:rPr>
    </w:lvl>
    <w:lvl w:ilvl="6" w:tplc="47FAAC12">
      <w:start w:val="1"/>
      <w:numFmt w:val="bullet"/>
      <w:lvlText w:val=""/>
      <w:lvlJc w:val="left"/>
      <w:pPr>
        <w:ind w:left="1440" w:hanging="360"/>
      </w:pPr>
      <w:rPr>
        <w:rFonts w:ascii="Symbol" w:hAnsi="Symbol"/>
      </w:rPr>
    </w:lvl>
    <w:lvl w:ilvl="7" w:tplc="D2465DA4">
      <w:start w:val="1"/>
      <w:numFmt w:val="bullet"/>
      <w:lvlText w:val=""/>
      <w:lvlJc w:val="left"/>
      <w:pPr>
        <w:ind w:left="1440" w:hanging="360"/>
      </w:pPr>
      <w:rPr>
        <w:rFonts w:ascii="Symbol" w:hAnsi="Symbol"/>
      </w:rPr>
    </w:lvl>
    <w:lvl w:ilvl="8" w:tplc="D0B40466">
      <w:start w:val="1"/>
      <w:numFmt w:val="bullet"/>
      <w:lvlText w:val=""/>
      <w:lvlJc w:val="left"/>
      <w:pPr>
        <w:ind w:left="1440" w:hanging="360"/>
      </w:pPr>
      <w:rPr>
        <w:rFonts w:ascii="Symbol" w:hAnsi="Symbol"/>
      </w:rPr>
    </w:lvl>
  </w:abstractNum>
  <w:abstractNum w:abstractNumId="16" w15:restartNumberingAfterBreak="0">
    <w:nsid w:val="2FAB7F85"/>
    <w:multiLevelType w:val="hybridMultilevel"/>
    <w:tmpl w:val="BCA0D1E8"/>
    <w:lvl w:ilvl="0" w:tplc="32E4D1C8">
      <w:start w:val="1"/>
      <w:numFmt w:val="bullet"/>
      <w:lvlText w:val=""/>
      <w:lvlJc w:val="left"/>
      <w:pPr>
        <w:ind w:left="1440" w:hanging="360"/>
      </w:pPr>
      <w:rPr>
        <w:rFonts w:ascii="Symbol" w:hAnsi="Symbol"/>
      </w:rPr>
    </w:lvl>
    <w:lvl w:ilvl="1" w:tplc="60BEC962">
      <w:start w:val="1"/>
      <w:numFmt w:val="bullet"/>
      <w:lvlText w:val=""/>
      <w:lvlJc w:val="left"/>
      <w:pPr>
        <w:ind w:left="1440" w:hanging="360"/>
      </w:pPr>
      <w:rPr>
        <w:rFonts w:ascii="Symbol" w:hAnsi="Symbol"/>
      </w:rPr>
    </w:lvl>
    <w:lvl w:ilvl="2" w:tplc="420E67EE">
      <w:start w:val="1"/>
      <w:numFmt w:val="bullet"/>
      <w:lvlText w:val=""/>
      <w:lvlJc w:val="left"/>
      <w:pPr>
        <w:ind w:left="1440" w:hanging="360"/>
      </w:pPr>
      <w:rPr>
        <w:rFonts w:ascii="Symbol" w:hAnsi="Symbol"/>
      </w:rPr>
    </w:lvl>
    <w:lvl w:ilvl="3" w:tplc="80B2A5F6">
      <w:start w:val="1"/>
      <w:numFmt w:val="bullet"/>
      <w:lvlText w:val=""/>
      <w:lvlJc w:val="left"/>
      <w:pPr>
        <w:ind w:left="1440" w:hanging="360"/>
      </w:pPr>
      <w:rPr>
        <w:rFonts w:ascii="Symbol" w:hAnsi="Symbol"/>
      </w:rPr>
    </w:lvl>
    <w:lvl w:ilvl="4" w:tplc="762A9A62">
      <w:start w:val="1"/>
      <w:numFmt w:val="bullet"/>
      <w:lvlText w:val=""/>
      <w:lvlJc w:val="left"/>
      <w:pPr>
        <w:ind w:left="1440" w:hanging="360"/>
      </w:pPr>
      <w:rPr>
        <w:rFonts w:ascii="Symbol" w:hAnsi="Symbol"/>
      </w:rPr>
    </w:lvl>
    <w:lvl w:ilvl="5" w:tplc="4ACAA0F0">
      <w:start w:val="1"/>
      <w:numFmt w:val="bullet"/>
      <w:lvlText w:val=""/>
      <w:lvlJc w:val="left"/>
      <w:pPr>
        <w:ind w:left="1440" w:hanging="360"/>
      </w:pPr>
      <w:rPr>
        <w:rFonts w:ascii="Symbol" w:hAnsi="Symbol"/>
      </w:rPr>
    </w:lvl>
    <w:lvl w:ilvl="6" w:tplc="8D38413C">
      <w:start w:val="1"/>
      <w:numFmt w:val="bullet"/>
      <w:lvlText w:val=""/>
      <w:lvlJc w:val="left"/>
      <w:pPr>
        <w:ind w:left="1440" w:hanging="360"/>
      </w:pPr>
      <w:rPr>
        <w:rFonts w:ascii="Symbol" w:hAnsi="Symbol"/>
      </w:rPr>
    </w:lvl>
    <w:lvl w:ilvl="7" w:tplc="F34A14A2">
      <w:start w:val="1"/>
      <w:numFmt w:val="bullet"/>
      <w:lvlText w:val=""/>
      <w:lvlJc w:val="left"/>
      <w:pPr>
        <w:ind w:left="1440" w:hanging="360"/>
      </w:pPr>
      <w:rPr>
        <w:rFonts w:ascii="Symbol" w:hAnsi="Symbol"/>
      </w:rPr>
    </w:lvl>
    <w:lvl w:ilvl="8" w:tplc="FB709404">
      <w:start w:val="1"/>
      <w:numFmt w:val="bullet"/>
      <w:lvlText w:val=""/>
      <w:lvlJc w:val="left"/>
      <w:pPr>
        <w:ind w:left="1440" w:hanging="360"/>
      </w:pPr>
      <w:rPr>
        <w:rFonts w:ascii="Symbol" w:hAnsi="Symbol"/>
      </w:rPr>
    </w:lvl>
  </w:abstractNum>
  <w:abstractNum w:abstractNumId="17" w15:restartNumberingAfterBreak="0">
    <w:nsid w:val="320820BB"/>
    <w:multiLevelType w:val="hybridMultilevel"/>
    <w:tmpl w:val="DA884A80"/>
    <w:lvl w:ilvl="0" w:tplc="695EA4D4">
      <w:start w:val="1"/>
      <w:numFmt w:val="bullet"/>
      <w:lvlText w:val=""/>
      <w:lvlJc w:val="left"/>
      <w:pPr>
        <w:ind w:left="1440" w:hanging="360"/>
      </w:pPr>
      <w:rPr>
        <w:rFonts w:ascii="Symbol" w:hAnsi="Symbol"/>
      </w:rPr>
    </w:lvl>
    <w:lvl w:ilvl="1" w:tplc="DD9EAEFA">
      <w:start w:val="1"/>
      <w:numFmt w:val="bullet"/>
      <w:lvlText w:val=""/>
      <w:lvlJc w:val="left"/>
      <w:pPr>
        <w:ind w:left="1440" w:hanging="360"/>
      </w:pPr>
      <w:rPr>
        <w:rFonts w:ascii="Symbol" w:hAnsi="Symbol"/>
      </w:rPr>
    </w:lvl>
    <w:lvl w:ilvl="2" w:tplc="262E2C24">
      <w:start w:val="1"/>
      <w:numFmt w:val="bullet"/>
      <w:lvlText w:val=""/>
      <w:lvlJc w:val="left"/>
      <w:pPr>
        <w:ind w:left="1440" w:hanging="360"/>
      </w:pPr>
      <w:rPr>
        <w:rFonts w:ascii="Symbol" w:hAnsi="Symbol"/>
      </w:rPr>
    </w:lvl>
    <w:lvl w:ilvl="3" w:tplc="BDE21C4C">
      <w:start w:val="1"/>
      <w:numFmt w:val="bullet"/>
      <w:lvlText w:val=""/>
      <w:lvlJc w:val="left"/>
      <w:pPr>
        <w:ind w:left="1440" w:hanging="360"/>
      </w:pPr>
      <w:rPr>
        <w:rFonts w:ascii="Symbol" w:hAnsi="Symbol"/>
      </w:rPr>
    </w:lvl>
    <w:lvl w:ilvl="4" w:tplc="D0AAAD48">
      <w:start w:val="1"/>
      <w:numFmt w:val="bullet"/>
      <w:lvlText w:val=""/>
      <w:lvlJc w:val="left"/>
      <w:pPr>
        <w:ind w:left="1440" w:hanging="360"/>
      </w:pPr>
      <w:rPr>
        <w:rFonts w:ascii="Symbol" w:hAnsi="Symbol"/>
      </w:rPr>
    </w:lvl>
    <w:lvl w:ilvl="5" w:tplc="3D705D04">
      <w:start w:val="1"/>
      <w:numFmt w:val="bullet"/>
      <w:lvlText w:val=""/>
      <w:lvlJc w:val="left"/>
      <w:pPr>
        <w:ind w:left="1440" w:hanging="360"/>
      </w:pPr>
      <w:rPr>
        <w:rFonts w:ascii="Symbol" w:hAnsi="Symbol"/>
      </w:rPr>
    </w:lvl>
    <w:lvl w:ilvl="6" w:tplc="D05C049E">
      <w:start w:val="1"/>
      <w:numFmt w:val="bullet"/>
      <w:lvlText w:val=""/>
      <w:lvlJc w:val="left"/>
      <w:pPr>
        <w:ind w:left="1440" w:hanging="360"/>
      </w:pPr>
      <w:rPr>
        <w:rFonts w:ascii="Symbol" w:hAnsi="Symbol"/>
      </w:rPr>
    </w:lvl>
    <w:lvl w:ilvl="7" w:tplc="8CC03D46">
      <w:start w:val="1"/>
      <w:numFmt w:val="bullet"/>
      <w:lvlText w:val=""/>
      <w:lvlJc w:val="left"/>
      <w:pPr>
        <w:ind w:left="1440" w:hanging="360"/>
      </w:pPr>
      <w:rPr>
        <w:rFonts w:ascii="Symbol" w:hAnsi="Symbol"/>
      </w:rPr>
    </w:lvl>
    <w:lvl w:ilvl="8" w:tplc="3860221C">
      <w:start w:val="1"/>
      <w:numFmt w:val="bullet"/>
      <w:lvlText w:val=""/>
      <w:lvlJc w:val="left"/>
      <w:pPr>
        <w:ind w:left="1440" w:hanging="360"/>
      </w:pPr>
      <w:rPr>
        <w:rFonts w:ascii="Symbol" w:hAnsi="Symbol"/>
      </w:rPr>
    </w:lvl>
  </w:abstractNum>
  <w:abstractNum w:abstractNumId="18" w15:restartNumberingAfterBreak="0">
    <w:nsid w:val="324002A0"/>
    <w:multiLevelType w:val="multilevel"/>
    <w:tmpl w:val="259AE6E8"/>
    <w:lvl w:ilvl="0">
      <w:start w:val="1"/>
      <w:numFmt w:val="decimal"/>
      <w:suff w:val="space"/>
      <w:lvlText w:val="%1."/>
      <w:lvlJc w:val="left"/>
      <w:pPr>
        <w:ind w:left="357" w:hanging="357"/>
      </w:pPr>
      <w:rPr>
        <w:b/>
        <w:bCs/>
        <w:i w:val="0"/>
        <w:iCs w:val="0"/>
        <w:sz w:val="32"/>
      </w:rPr>
    </w:lvl>
    <w:lvl w:ilvl="1">
      <w:start w:val="1"/>
      <w:numFmt w:val="decimal"/>
      <w:suff w:val="space"/>
      <w:lvlText w:val="%1.%2."/>
      <w:lvlJc w:val="left"/>
      <w:pPr>
        <w:ind w:left="357" w:hanging="357"/>
      </w:pPr>
      <w:rPr>
        <w:b/>
        <w:i w:val="0"/>
        <w:sz w:val="28"/>
        <w:szCs w:val="28"/>
      </w:rPr>
    </w:lvl>
    <w:lvl w:ilvl="2">
      <w:start w:val="1"/>
      <w:numFmt w:val="decimal"/>
      <w:suff w:val="space"/>
      <w:lvlText w:val="%1.%2.%3."/>
      <w:lvlJc w:val="left"/>
      <w:pPr>
        <w:ind w:left="357" w:hanging="357"/>
      </w:pPr>
      <w:rPr>
        <w:rFonts w:hint="default"/>
        <w:b/>
        <w:bCs/>
        <w:i w:val="0"/>
        <w:iCs w:val="0"/>
        <w:color w:val="000000" w:themeColor="text1"/>
      </w:rPr>
    </w:lvl>
    <w:lvl w:ilvl="3">
      <w:start w:val="1"/>
      <w:numFmt w:val="decimal"/>
      <w:suff w:val="space"/>
      <w:lvlText w:val="%1.%2."/>
      <w:lvlJc w:val="left"/>
      <w:pPr>
        <w:ind w:left="357" w:hanging="357"/>
      </w:pPr>
    </w:lvl>
    <w:lvl w:ilvl="4">
      <w:start w:val="1"/>
      <w:numFmt w:val="decimal"/>
      <w:suff w:val="space"/>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38820BBE"/>
    <w:multiLevelType w:val="hybridMultilevel"/>
    <w:tmpl w:val="4860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D1A83"/>
    <w:multiLevelType w:val="hybridMultilevel"/>
    <w:tmpl w:val="A2BA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50C87"/>
    <w:multiLevelType w:val="hybridMultilevel"/>
    <w:tmpl w:val="B3042D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D323F"/>
    <w:multiLevelType w:val="hybridMultilevel"/>
    <w:tmpl w:val="A0D2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06D98"/>
    <w:multiLevelType w:val="hybridMultilevel"/>
    <w:tmpl w:val="800CCCC8"/>
    <w:lvl w:ilvl="0" w:tplc="B9D0E128">
      <w:start w:val="1"/>
      <w:numFmt w:val="bullet"/>
      <w:lvlText w:val=""/>
      <w:lvlJc w:val="left"/>
      <w:pPr>
        <w:ind w:left="1440" w:hanging="360"/>
      </w:pPr>
      <w:rPr>
        <w:rFonts w:ascii="Symbol" w:hAnsi="Symbol"/>
      </w:rPr>
    </w:lvl>
    <w:lvl w:ilvl="1" w:tplc="7AD83FA0">
      <w:start w:val="1"/>
      <w:numFmt w:val="bullet"/>
      <w:lvlText w:val=""/>
      <w:lvlJc w:val="left"/>
      <w:pPr>
        <w:ind w:left="1440" w:hanging="360"/>
      </w:pPr>
      <w:rPr>
        <w:rFonts w:ascii="Symbol" w:hAnsi="Symbol"/>
      </w:rPr>
    </w:lvl>
    <w:lvl w:ilvl="2" w:tplc="3FAC055C">
      <w:start w:val="1"/>
      <w:numFmt w:val="bullet"/>
      <w:lvlText w:val=""/>
      <w:lvlJc w:val="left"/>
      <w:pPr>
        <w:ind w:left="1440" w:hanging="360"/>
      </w:pPr>
      <w:rPr>
        <w:rFonts w:ascii="Symbol" w:hAnsi="Symbol"/>
      </w:rPr>
    </w:lvl>
    <w:lvl w:ilvl="3" w:tplc="06485204">
      <w:start w:val="1"/>
      <w:numFmt w:val="bullet"/>
      <w:lvlText w:val=""/>
      <w:lvlJc w:val="left"/>
      <w:pPr>
        <w:ind w:left="1440" w:hanging="360"/>
      </w:pPr>
      <w:rPr>
        <w:rFonts w:ascii="Symbol" w:hAnsi="Symbol"/>
      </w:rPr>
    </w:lvl>
    <w:lvl w:ilvl="4" w:tplc="EEAC04E8">
      <w:start w:val="1"/>
      <w:numFmt w:val="bullet"/>
      <w:lvlText w:val=""/>
      <w:lvlJc w:val="left"/>
      <w:pPr>
        <w:ind w:left="1440" w:hanging="360"/>
      </w:pPr>
      <w:rPr>
        <w:rFonts w:ascii="Symbol" w:hAnsi="Symbol"/>
      </w:rPr>
    </w:lvl>
    <w:lvl w:ilvl="5" w:tplc="A1FA6FD8">
      <w:start w:val="1"/>
      <w:numFmt w:val="bullet"/>
      <w:lvlText w:val=""/>
      <w:lvlJc w:val="left"/>
      <w:pPr>
        <w:ind w:left="1440" w:hanging="360"/>
      </w:pPr>
      <w:rPr>
        <w:rFonts w:ascii="Symbol" w:hAnsi="Symbol"/>
      </w:rPr>
    </w:lvl>
    <w:lvl w:ilvl="6" w:tplc="396AE6CE">
      <w:start w:val="1"/>
      <w:numFmt w:val="bullet"/>
      <w:lvlText w:val=""/>
      <w:lvlJc w:val="left"/>
      <w:pPr>
        <w:ind w:left="1440" w:hanging="360"/>
      </w:pPr>
      <w:rPr>
        <w:rFonts w:ascii="Symbol" w:hAnsi="Symbol"/>
      </w:rPr>
    </w:lvl>
    <w:lvl w:ilvl="7" w:tplc="0DE2101C">
      <w:start w:val="1"/>
      <w:numFmt w:val="bullet"/>
      <w:lvlText w:val=""/>
      <w:lvlJc w:val="left"/>
      <w:pPr>
        <w:ind w:left="1440" w:hanging="360"/>
      </w:pPr>
      <w:rPr>
        <w:rFonts w:ascii="Symbol" w:hAnsi="Symbol"/>
      </w:rPr>
    </w:lvl>
    <w:lvl w:ilvl="8" w:tplc="65084E56">
      <w:start w:val="1"/>
      <w:numFmt w:val="bullet"/>
      <w:lvlText w:val=""/>
      <w:lvlJc w:val="left"/>
      <w:pPr>
        <w:ind w:left="1440" w:hanging="360"/>
      </w:pPr>
      <w:rPr>
        <w:rFonts w:ascii="Symbol" w:hAnsi="Symbol"/>
      </w:rPr>
    </w:lvl>
  </w:abstractNum>
  <w:abstractNum w:abstractNumId="24" w15:restartNumberingAfterBreak="0">
    <w:nsid w:val="55740B9E"/>
    <w:multiLevelType w:val="hybridMultilevel"/>
    <w:tmpl w:val="B0F66322"/>
    <w:lvl w:ilvl="0" w:tplc="7EB2099E">
      <w:start w:val="1"/>
      <w:numFmt w:val="bullet"/>
      <w:lvlText w:val=""/>
      <w:lvlJc w:val="left"/>
      <w:pPr>
        <w:ind w:left="1440" w:hanging="360"/>
      </w:pPr>
      <w:rPr>
        <w:rFonts w:ascii="Symbol" w:hAnsi="Symbol"/>
      </w:rPr>
    </w:lvl>
    <w:lvl w:ilvl="1" w:tplc="4A5C3C98">
      <w:start w:val="1"/>
      <w:numFmt w:val="bullet"/>
      <w:lvlText w:val=""/>
      <w:lvlJc w:val="left"/>
      <w:pPr>
        <w:ind w:left="1440" w:hanging="360"/>
      </w:pPr>
      <w:rPr>
        <w:rFonts w:ascii="Symbol" w:hAnsi="Symbol"/>
      </w:rPr>
    </w:lvl>
    <w:lvl w:ilvl="2" w:tplc="27543692">
      <w:start w:val="1"/>
      <w:numFmt w:val="bullet"/>
      <w:lvlText w:val=""/>
      <w:lvlJc w:val="left"/>
      <w:pPr>
        <w:ind w:left="1440" w:hanging="360"/>
      </w:pPr>
      <w:rPr>
        <w:rFonts w:ascii="Symbol" w:hAnsi="Symbol"/>
      </w:rPr>
    </w:lvl>
    <w:lvl w:ilvl="3" w:tplc="0EE6EBCE">
      <w:start w:val="1"/>
      <w:numFmt w:val="bullet"/>
      <w:lvlText w:val=""/>
      <w:lvlJc w:val="left"/>
      <w:pPr>
        <w:ind w:left="1440" w:hanging="360"/>
      </w:pPr>
      <w:rPr>
        <w:rFonts w:ascii="Symbol" w:hAnsi="Symbol"/>
      </w:rPr>
    </w:lvl>
    <w:lvl w:ilvl="4" w:tplc="DD603670">
      <w:start w:val="1"/>
      <w:numFmt w:val="bullet"/>
      <w:lvlText w:val=""/>
      <w:lvlJc w:val="left"/>
      <w:pPr>
        <w:ind w:left="1440" w:hanging="360"/>
      </w:pPr>
      <w:rPr>
        <w:rFonts w:ascii="Symbol" w:hAnsi="Symbol"/>
      </w:rPr>
    </w:lvl>
    <w:lvl w:ilvl="5" w:tplc="EDB85966">
      <w:start w:val="1"/>
      <w:numFmt w:val="bullet"/>
      <w:lvlText w:val=""/>
      <w:lvlJc w:val="left"/>
      <w:pPr>
        <w:ind w:left="1440" w:hanging="360"/>
      </w:pPr>
      <w:rPr>
        <w:rFonts w:ascii="Symbol" w:hAnsi="Symbol"/>
      </w:rPr>
    </w:lvl>
    <w:lvl w:ilvl="6" w:tplc="3AF89544">
      <w:start w:val="1"/>
      <w:numFmt w:val="bullet"/>
      <w:lvlText w:val=""/>
      <w:lvlJc w:val="left"/>
      <w:pPr>
        <w:ind w:left="1440" w:hanging="360"/>
      </w:pPr>
      <w:rPr>
        <w:rFonts w:ascii="Symbol" w:hAnsi="Symbol"/>
      </w:rPr>
    </w:lvl>
    <w:lvl w:ilvl="7" w:tplc="E5D00FB8">
      <w:start w:val="1"/>
      <w:numFmt w:val="bullet"/>
      <w:lvlText w:val=""/>
      <w:lvlJc w:val="left"/>
      <w:pPr>
        <w:ind w:left="1440" w:hanging="360"/>
      </w:pPr>
      <w:rPr>
        <w:rFonts w:ascii="Symbol" w:hAnsi="Symbol"/>
      </w:rPr>
    </w:lvl>
    <w:lvl w:ilvl="8" w:tplc="474CC2B6">
      <w:start w:val="1"/>
      <w:numFmt w:val="bullet"/>
      <w:lvlText w:val=""/>
      <w:lvlJc w:val="left"/>
      <w:pPr>
        <w:ind w:left="1440" w:hanging="360"/>
      </w:pPr>
      <w:rPr>
        <w:rFonts w:ascii="Symbol" w:hAnsi="Symbol"/>
      </w:rPr>
    </w:lvl>
  </w:abstractNum>
  <w:abstractNum w:abstractNumId="25" w15:restartNumberingAfterBreak="0">
    <w:nsid w:val="5BB90D1A"/>
    <w:multiLevelType w:val="hybridMultilevel"/>
    <w:tmpl w:val="9334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97E70"/>
    <w:multiLevelType w:val="hybridMultilevel"/>
    <w:tmpl w:val="F974776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2C1161"/>
    <w:multiLevelType w:val="singleLevel"/>
    <w:tmpl w:val="0248FA1A"/>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5607161"/>
    <w:multiLevelType w:val="hybridMultilevel"/>
    <w:tmpl w:val="E2069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07598"/>
    <w:multiLevelType w:val="hybridMultilevel"/>
    <w:tmpl w:val="1A7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86983"/>
    <w:multiLevelType w:val="hybridMultilevel"/>
    <w:tmpl w:val="6AE2C49E"/>
    <w:lvl w:ilvl="0" w:tplc="81A04D76">
      <w:start w:val="1"/>
      <w:numFmt w:val="bullet"/>
      <w:lvlText w:val="·"/>
      <w:lvlJc w:val="left"/>
      <w:pPr>
        <w:ind w:left="720" w:hanging="360"/>
      </w:pPr>
      <w:rPr>
        <w:rFonts w:ascii="Symbol" w:hAnsi="Symbol" w:hint="default"/>
      </w:rPr>
    </w:lvl>
    <w:lvl w:ilvl="1" w:tplc="0DB8C762">
      <w:start w:val="1"/>
      <w:numFmt w:val="bullet"/>
      <w:lvlText w:val="o"/>
      <w:lvlJc w:val="left"/>
      <w:pPr>
        <w:ind w:left="1440" w:hanging="360"/>
      </w:pPr>
      <w:rPr>
        <w:rFonts w:ascii="Courier New" w:hAnsi="Courier New" w:hint="default"/>
      </w:rPr>
    </w:lvl>
    <w:lvl w:ilvl="2" w:tplc="752A3640">
      <w:start w:val="1"/>
      <w:numFmt w:val="bullet"/>
      <w:lvlText w:val=""/>
      <w:lvlJc w:val="left"/>
      <w:pPr>
        <w:ind w:left="2160" w:hanging="360"/>
      </w:pPr>
      <w:rPr>
        <w:rFonts w:ascii="Wingdings" w:hAnsi="Wingdings" w:hint="default"/>
      </w:rPr>
    </w:lvl>
    <w:lvl w:ilvl="3" w:tplc="8BD8528E">
      <w:start w:val="1"/>
      <w:numFmt w:val="bullet"/>
      <w:lvlText w:val=""/>
      <w:lvlJc w:val="left"/>
      <w:pPr>
        <w:ind w:left="2880" w:hanging="360"/>
      </w:pPr>
      <w:rPr>
        <w:rFonts w:ascii="Symbol" w:hAnsi="Symbol" w:hint="default"/>
      </w:rPr>
    </w:lvl>
    <w:lvl w:ilvl="4" w:tplc="66DEBD76">
      <w:start w:val="1"/>
      <w:numFmt w:val="bullet"/>
      <w:lvlText w:val="o"/>
      <w:lvlJc w:val="left"/>
      <w:pPr>
        <w:ind w:left="3600" w:hanging="360"/>
      </w:pPr>
      <w:rPr>
        <w:rFonts w:ascii="Courier New" w:hAnsi="Courier New" w:hint="default"/>
      </w:rPr>
    </w:lvl>
    <w:lvl w:ilvl="5" w:tplc="F5E4D3D2">
      <w:start w:val="1"/>
      <w:numFmt w:val="bullet"/>
      <w:lvlText w:val=""/>
      <w:lvlJc w:val="left"/>
      <w:pPr>
        <w:ind w:left="4320" w:hanging="360"/>
      </w:pPr>
      <w:rPr>
        <w:rFonts w:ascii="Wingdings" w:hAnsi="Wingdings" w:hint="default"/>
      </w:rPr>
    </w:lvl>
    <w:lvl w:ilvl="6" w:tplc="A10860E4">
      <w:start w:val="1"/>
      <w:numFmt w:val="bullet"/>
      <w:lvlText w:val=""/>
      <w:lvlJc w:val="left"/>
      <w:pPr>
        <w:ind w:left="5040" w:hanging="360"/>
      </w:pPr>
      <w:rPr>
        <w:rFonts w:ascii="Symbol" w:hAnsi="Symbol" w:hint="default"/>
      </w:rPr>
    </w:lvl>
    <w:lvl w:ilvl="7" w:tplc="6832C328">
      <w:start w:val="1"/>
      <w:numFmt w:val="bullet"/>
      <w:lvlText w:val="o"/>
      <w:lvlJc w:val="left"/>
      <w:pPr>
        <w:ind w:left="5760" w:hanging="360"/>
      </w:pPr>
      <w:rPr>
        <w:rFonts w:ascii="Courier New" w:hAnsi="Courier New" w:hint="default"/>
      </w:rPr>
    </w:lvl>
    <w:lvl w:ilvl="8" w:tplc="8B68A58E">
      <w:start w:val="1"/>
      <w:numFmt w:val="bullet"/>
      <w:lvlText w:val=""/>
      <w:lvlJc w:val="left"/>
      <w:pPr>
        <w:ind w:left="6480" w:hanging="360"/>
      </w:pPr>
      <w:rPr>
        <w:rFonts w:ascii="Wingdings" w:hAnsi="Wingdings" w:hint="default"/>
      </w:rPr>
    </w:lvl>
  </w:abstractNum>
  <w:abstractNum w:abstractNumId="31" w15:restartNumberingAfterBreak="0">
    <w:nsid w:val="775F1D59"/>
    <w:multiLevelType w:val="hybridMultilevel"/>
    <w:tmpl w:val="8D348AE8"/>
    <w:lvl w:ilvl="0" w:tplc="5400F1F6">
      <w:start w:val="1"/>
      <w:numFmt w:val="bullet"/>
      <w:lvlText w:val="·"/>
      <w:lvlJc w:val="left"/>
      <w:pPr>
        <w:ind w:left="720" w:hanging="360"/>
      </w:pPr>
      <w:rPr>
        <w:rFonts w:ascii="Symbol" w:hAnsi="Symbol" w:hint="default"/>
      </w:rPr>
    </w:lvl>
    <w:lvl w:ilvl="1" w:tplc="F66E6194">
      <w:start w:val="1"/>
      <w:numFmt w:val="bullet"/>
      <w:lvlText w:val="o"/>
      <w:lvlJc w:val="left"/>
      <w:pPr>
        <w:ind w:left="1440" w:hanging="360"/>
      </w:pPr>
      <w:rPr>
        <w:rFonts w:ascii="Courier New" w:hAnsi="Courier New" w:hint="default"/>
      </w:rPr>
    </w:lvl>
    <w:lvl w:ilvl="2" w:tplc="C9569E44">
      <w:start w:val="1"/>
      <w:numFmt w:val="bullet"/>
      <w:lvlText w:val=""/>
      <w:lvlJc w:val="left"/>
      <w:pPr>
        <w:ind w:left="2160" w:hanging="360"/>
      </w:pPr>
      <w:rPr>
        <w:rFonts w:ascii="Wingdings" w:hAnsi="Wingdings" w:hint="default"/>
      </w:rPr>
    </w:lvl>
    <w:lvl w:ilvl="3" w:tplc="45F89C86">
      <w:start w:val="1"/>
      <w:numFmt w:val="bullet"/>
      <w:lvlText w:val=""/>
      <w:lvlJc w:val="left"/>
      <w:pPr>
        <w:ind w:left="2880" w:hanging="360"/>
      </w:pPr>
      <w:rPr>
        <w:rFonts w:ascii="Symbol" w:hAnsi="Symbol" w:hint="default"/>
      </w:rPr>
    </w:lvl>
    <w:lvl w:ilvl="4" w:tplc="643CBA30">
      <w:start w:val="1"/>
      <w:numFmt w:val="bullet"/>
      <w:lvlText w:val="o"/>
      <w:lvlJc w:val="left"/>
      <w:pPr>
        <w:ind w:left="3600" w:hanging="360"/>
      </w:pPr>
      <w:rPr>
        <w:rFonts w:ascii="Courier New" w:hAnsi="Courier New" w:hint="default"/>
      </w:rPr>
    </w:lvl>
    <w:lvl w:ilvl="5" w:tplc="5C48A874">
      <w:start w:val="1"/>
      <w:numFmt w:val="bullet"/>
      <w:lvlText w:val=""/>
      <w:lvlJc w:val="left"/>
      <w:pPr>
        <w:ind w:left="4320" w:hanging="360"/>
      </w:pPr>
      <w:rPr>
        <w:rFonts w:ascii="Wingdings" w:hAnsi="Wingdings" w:hint="default"/>
      </w:rPr>
    </w:lvl>
    <w:lvl w:ilvl="6" w:tplc="F8C2BCD6">
      <w:start w:val="1"/>
      <w:numFmt w:val="bullet"/>
      <w:lvlText w:val=""/>
      <w:lvlJc w:val="left"/>
      <w:pPr>
        <w:ind w:left="5040" w:hanging="360"/>
      </w:pPr>
      <w:rPr>
        <w:rFonts w:ascii="Symbol" w:hAnsi="Symbol" w:hint="default"/>
      </w:rPr>
    </w:lvl>
    <w:lvl w:ilvl="7" w:tplc="07B89562">
      <w:start w:val="1"/>
      <w:numFmt w:val="bullet"/>
      <w:lvlText w:val="o"/>
      <w:lvlJc w:val="left"/>
      <w:pPr>
        <w:ind w:left="5760" w:hanging="360"/>
      </w:pPr>
      <w:rPr>
        <w:rFonts w:ascii="Courier New" w:hAnsi="Courier New" w:hint="default"/>
      </w:rPr>
    </w:lvl>
    <w:lvl w:ilvl="8" w:tplc="6116205C">
      <w:start w:val="1"/>
      <w:numFmt w:val="bullet"/>
      <w:lvlText w:val=""/>
      <w:lvlJc w:val="left"/>
      <w:pPr>
        <w:ind w:left="6480" w:hanging="360"/>
      </w:pPr>
      <w:rPr>
        <w:rFonts w:ascii="Wingdings" w:hAnsi="Wingdings" w:hint="default"/>
      </w:rPr>
    </w:lvl>
  </w:abstractNum>
  <w:abstractNum w:abstractNumId="32" w15:restartNumberingAfterBreak="0">
    <w:nsid w:val="7F4D1319"/>
    <w:multiLevelType w:val="hybridMultilevel"/>
    <w:tmpl w:val="5B8462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9017913">
    <w:abstractNumId w:val="31"/>
  </w:num>
  <w:num w:numId="2" w16cid:durableId="1021860997">
    <w:abstractNumId w:val="8"/>
  </w:num>
  <w:num w:numId="3" w16cid:durableId="594047731">
    <w:abstractNumId w:val="30"/>
  </w:num>
  <w:num w:numId="4" w16cid:durableId="1391078250">
    <w:abstractNumId w:val="9"/>
  </w:num>
  <w:num w:numId="5" w16cid:durableId="604072988">
    <w:abstractNumId w:val="13"/>
  </w:num>
  <w:num w:numId="6" w16cid:durableId="1663048896">
    <w:abstractNumId w:val="27"/>
  </w:num>
  <w:num w:numId="7" w16cid:durableId="593590099">
    <w:abstractNumId w:val="19"/>
  </w:num>
  <w:num w:numId="8" w16cid:durableId="56367736">
    <w:abstractNumId w:val="7"/>
  </w:num>
  <w:num w:numId="9" w16cid:durableId="430124264">
    <w:abstractNumId w:val="22"/>
  </w:num>
  <w:num w:numId="10" w16cid:durableId="444235080">
    <w:abstractNumId w:val="10"/>
  </w:num>
  <w:num w:numId="11" w16cid:durableId="1878659535">
    <w:abstractNumId w:val="20"/>
  </w:num>
  <w:num w:numId="12" w16cid:durableId="1414007405">
    <w:abstractNumId w:val="6"/>
  </w:num>
  <w:num w:numId="13" w16cid:durableId="626661158">
    <w:abstractNumId w:val="32"/>
  </w:num>
  <w:num w:numId="14" w16cid:durableId="728498278">
    <w:abstractNumId w:val="11"/>
  </w:num>
  <w:num w:numId="15" w16cid:durableId="1735278915">
    <w:abstractNumId w:val="26"/>
  </w:num>
  <w:num w:numId="16" w16cid:durableId="1528518954">
    <w:abstractNumId w:val="29"/>
  </w:num>
  <w:num w:numId="17" w16cid:durableId="470246071">
    <w:abstractNumId w:val="28"/>
  </w:num>
  <w:num w:numId="18" w16cid:durableId="834686930">
    <w:abstractNumId w:val="14"/>
  </w:num>
  <w:num w:numId="19" w16cid:durableId="847715033">
    <w:abstractNumId w:val="0"/>
  </w:num>
  <w:num w:numId="20" w16cid:durableId="964970527">
    <w:abstractNumId w:val="24"/>
  </w:num>
  <w:num w:numId="21" w16cid:durableId="1406033744">
    <w:abstractNumId w:val="21"/>
  </w:num>
  <w:num w:numId="22" w16cid:durableId="164782789">
    <w:abstractNumId w:val="25"/>
  </w:num>
  <w:num w:numId="23" w16cid:durableId="2143498900">
    <w:abstractNumId w:val="2"/>
  </w:num>
  <w:num w:numId="24" w16cid:durableId="1140611845">
    <w:abstractNumId w:val="4"/>
  </w:num>
  <w:num w:numId="25" w16cid:durableId="183907828">
    <w:abstractNumId w:val="1"/>
  </w:num>
  <w:num w:numId="26" w16cid:durableId="653264195">
    <w:abstractNumId w:val="18"/>
  </w:num>
  <w:num w:numId="27" w16cid:durableId="432435346">
    <w:abstractNumId w:val="5"/>
  </w:num>
  <w:num w:numId="28" w16cid:durableId="942347558">
    <w:abstractNumId w:val="3"/>
  </w:num>
  <w:num w:numId="29" w16cid:durableId="688991223">
    <w:abstractNumId w:val="12"/>
  </w:num>
  <w:num w:numId="30" w16cid:durableId="140656100">
    <w:abstractNumId w:val="15"/>
  </w:num>
  <w:num w:numId="31" w16cid:durableId="1843080243">
    <w:abstractNumId w:val="17"/>
  </w:num>
  <w:num w:numId="32" w16cid:durableId="1889145474">
    <w:abstractNumId w:val="16"/>
  </w:num>
  <w:num w:numId="33" w16cid:durableId="114866436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A3"/>
    <w:rsid w:val="00000B15"/>
    <w:rsid w:val="00000B23"/>
    <w:rsid w:val="00000D69"/>
    <w:rsid w:val="00000F90"/>
    <w:rsid w:val="0000164A"/>
    <w:rsid w:val="00002117"/>
    <w:rsid w:val="00003267"/>
    <w:rsid w:val="00003E19"/>
    <w:rsid w:val="00005054"/>
    <w:rsid w:val="000051AF"/>
    <w:rsid w:val="00005E76"/>
    <w:rsid w:val="00006254"/>
    <w:rsid w:val="000064AD"/>
    <w:rsid w:val="000068E4"/>
    <w:rsid w:val="00006C0C"/>
    <w:rsid w:val="000072AF"/>
    <w:rsid w:val="00007941"/>
    <w:rsid w:val="00010479"/>
    <w:rsid w:val="00011A5D"/>
    <w:rsid w:val="0001212D"/>
    <w:rsid w:val="0001248B"/>
    <w:rsid w:val="0001275F"/>
    <w:rsid w:val="00012777"/>
    <w:rsid w:val="00012E28"/>
    <w:rsid w:val="000139E9"/>
    <w:rsid w:val="0001584F"/>
    <w:rsid w:val="00016519"/>
    <w:rsid w:val="000165D4"/>
    <w:rsid w:val="00016650"/>
    <w:rsid w:val="0002017A"/>
    <w:rsid w:val="0002058C"/>
    <w:rsid w:val="00020917"/>
    <w:rsid w:val="0002093E"/>
    <w:rsid w:val="00020A88"/>
    <w:rsid w:val="00020C5D"/>
    <w:rsid w:val="00021920"/>
    <w:rsid w:val="00021B73"/>
    <w:rsid w:val="00021F1A"/>
    <w:rsid w:val="00023224"/>
    <w:rsid w:val="00024663"/>
    <w:rsid w:val="000248A1"/>
    <w:rsid w:val="000256E4"/>
    <w:rsid w:val="00025BB6"/>
    <w:rsid w:val="000266C7"/>
    <w:rsid w:val="00026B23"/>
    <w:rsid w:val="00026F76"/>
    <w:rsid w:val="000271AF"/>
    <w:rsid w:val="00027C27"/>
    <w:rsid w:val="00027DD5"/>
    <w:rsid w:val="000306A0"/>
    <w:rsid w:val="00030BA8"/>
    <w:rsid w:val="00031F0B"/>
    <w:rsid w:val="00033649"/>
    <w:rsid w:val="000339C6"/>
    <w:rsid w:val="000349C2"/>
    <w:rsid w:val="00034B1F"/>
    <w:rsid w:val="00034C8E"/>
    <w:rsid w:val="00035212"/>
    <w:rsid w:val="00035AA9"/>
    <w:rsid w:val="00036001"/>
    <w:rsid w:val="0003636B"/>
    <w:rsid w:val="00036582"/>
    <w:rsid w:val="0003686A"/>
    <w:rsid w:val="00036BF4"/>
    <w:rsid w:val="0003736A"/>
    <w:rsid w:val="00037732"/>
    <w:rsid w:val="00037F32"/>
    <w:rsid w:val="00037FDC"/>
    <w:rsid w:val="0003B0C6"/>
    <w:rsid w:val="000403EF"/>
    <w:rsid w:val="00040604"/>
    <w:rsid w:val="000406DC"/>
    <w:rsid w:val="00040893"/>
    <w:rsid w:val="00040974"/>
    <w:rsid w:val="00040D58"/>
    <w:rsid w:val="00040D8A"/>
    <w:rsid w:val="0004119A"/>
    <w:rsid w:val="0004182A"/>
    <w:rsid w:val="00042466"/>
    <w:rsid w:val="0004299A"/>
    <w:rsid w:val="00042B0F"/>
    <w:rsid w:val="00046422"/>
    <w:rsid w:val="00047A8A"/>
    <w:rsid w:val="000505F0"/>
    <w:rsid w:val="00050961"/>
    <w:rsid w:val="00050B1D"/>
    <w:rsid w:val="00050C99"/>
    <w:rsid w:val="00050F8C"/>
    <w:rsid w:val="000515B4"/>
    <w:rsid w:val="000528E5"/>
    <w:rsid w:val="00052EAD"/>
    <w:rsid w:val="00052F8D"/>
    <w:rsid w:val="00054B56"/>
    <w:rsid w:val="00054F3F"/>
    <w:rsid w:val="0005541C"/>
    <w:rsid w:val="00055422"/>
    <w:rsid w:val="0005597E"/>
    <w:rsid w:val="00055B5A"/>
    <w:rsid w:val="00055F9B"/>
    <w:rsid w:val="00057228"/>
    <w:rsid w:val="000576E3"/>
    <w:rsid w:val="0005776B"/>
    <w:rsid w:val="000577B9"/>
    <w:rsid w:val="000577E9"/>
    <w:rsid w:val="00057A82"/>
    <w:rsid w:val="000600C0"/>
    <w:rsid w:val="00060C85"/>
    <w:rsid w:val="000612AD"/>
    <w:rsid w:val="000617A6"/>
    <w:rsid w:val="00062901"/>
    <w:rsid w:val="00063018"/>
    <w:rsid w:val="000631E3"/>
    <w:rsid w:val="000633CA"/>
    <w:rsid w:val="000635D2"/>
    <w:rsid w:val="00064793"/>
    <w:rsid w:val="0006499C"/>
    <w:rsid w:val="0006603D"/>
    <w:rsid w:val="000662B7"/>
    <w:rsid w:val="000662BC"/>
    <w:rsid w:val="00066349"/>
    <w:rsid w:val="00066505"/>
    <w:rsid w:val="00066523"/>
    <w:rsid w:val="000665BD"/>
    <w:rsid w:val="000667B8"/>
    <w:rsid w:val="00066A5A"/>
    <w:rsid w:val="000678E5"/>
    <w:rsid w:val="00067C5D"/>
    <w:rsid w:val="00070174"/>
    <w:rsid w:val="00070778"/>
    <w:rsid w:val="0007120C"/>
    <w:rsid w:val="00071702"/>
    <w:rsid w:val="00071729"/>
    <w:rsid w:val="00071933"/>
    <w:rsid w:val="00071D51"/>
    <w:rsid w:val="000727EF"/>
    <w:rsid w:val="00072985"/>
    <w:rsid w:val="00072F65"/>
    <w:rsid w:val="0007314C"/>
    <w:rsid w:val="00073873"/>
    <w:rsid w:val="00074ADD"/>
    <w:rsid w:val="00076741"/>
    <w:rsid w:val="00080047"/>
    <w:rsid w:val="00080063"/>
    <w:rsid w:val="00080583"/>
    <w:rsid w:val="00080709"/>
    <w:rsid w:val="00081070"/>
    <w:rsid w:val="000819F3"/>
    <w:rsid w:val="00081B60"/>
    <w:rsid w:val="00083277"/>
    <w:rsid w:val="000835BD"/>
    <w:rsid w:val="00083E63"/>
    <w:rsid w:val="00084407"/>
    <w:rsid w:val="00084D02"/>
    <w:rsid w:val="000852BF"/>
    <w:rsid w:val="000863DF"/>
    <w:rsid w:val="000867F4"/>
    <w:rsid w:val="00086BE9"/>
    <w:rsid w:val="00086C0F"/>
    <w:rsid w:val="00087986"/>
    <w:rsid w:val="00087C33"/>
    <w:rsid w:val="0009100B"/>
    <w:rsid w:val="000911F2"/>
    <w:rsid w:val="00091C3A"/>
    <w:rsid w:val="00091D44"/>
    <w:rsid w:val="00091E4C"/>
    <w:rsid w:val="00092C21"/>
    <w:rsid w:val="00094446"/>
    <w:rsid w:val="00094846"/>
    <w:rsid w:val="00094C2C"/>
    <w:rsid w:val="00095C92"/>
    <w:rsid w:val="0009605F"/>
    <w:rsid w:val="000965C4"/>
    <w:rsid w:val="00096698"/>
    <w:rsid w:val="00096B0B"/>
    <w:rsid w:val="00096E67"/>
    <w:rsid w:val="000979AD"/>
    <w:rsid w:val="00097CB2"/>
    <w:rsid w:val="000A0471"/>
    <w:rsid w:val="000A04C6"/>
    <w:rsid w:val="000A194C"/>
    <w:rsid w:val="000A19DA"/>
    <w:rsid w:val="000A239D"/>
    <w:rsid w:val="000A3097"/>
    <w:rsid w:val="000A35D2"/>
    <w:rsid w:val="000A3E96"/>
    <w:rsid w:val="000A47C9"/>
    <w:rsid w:val="000A4D38"/>
    <w:rsid w:val="000A511B"/>
    <w:rsid w:val="000A5140"/>
    <w:rsid w:val="000A517D"/>
    <w:rsid w:val="000A59A3"/>
    <w:rsid w:val="000A5E08"/>
    <w:rsid w:val="000A6859"/>
    <w:rsid w:val="000A6A19"/>
    <w:rsid w:val="000A711F"/>
    <w:rsid w:val="000A764F"/>
    <w:rsid w:val="000B03C3"/>
    <w:rsid w:val="000B0423"/>
    <w:rsid w:val="000B0CD1"/>
    <w:rsid w:val="000B0D7F"/>
    <w:rsid w:val="000B21D7"/>
    <w:rsid w:val="000B2505"/>
    <w:rsid w:val="000B2610"/>
    <w:rsid w:val="000B2ADE"/>
    <w:rsid w:val="000B2F60"/>
    <w:rsid w:val="000B3088"/>
    <w:rsid w:val="000B33AF"/>
    <w:rsid w:val="000B36F0"/>
    <w:rsid w:val="000B3F7E"/>
    <w:rsid w:val="000B45FB"/>
    <w:rsid w:val="000B49EA"/>
    <w:rsid w:val="000B4DB4"/>
    <w:rsid w:val="000B65F8"/>
    <w:rsid w:val="000B712D"/>
    <w:rsid w:val="000B7366"/>
    <w:rsid w:val="000B79BB"/>
    <w:rsid w:val="000B7A2A"/>
    <w:rsid w:val="000B7A52"/>
    <w:rsid w:val="000B7DCD"/>
    <w:rsid w:val="000C035F"/>
    <w:rsid w:val="000C0CF4"/>
    <w:rsid w:val="000C0F4B"/>
    <w:rsid w:val="000C13BB"/>
    <w:rsid w:val="000C16FF"/>
    <w:rsid w:val="000C1A9E"/>
    <w:rsid w:val="000C1F04"/>
    <w:rsid w:val="000C2399"/>
    <w:rsid w:val="000C31CF"/>
    <w:rsid w:val="000C39D6"/>
    <w:rsid w:val="000C43B1"/>
    <w:rsid w:val="000C4A52"/>
    <w:rsid w:val="000C4D6D"/>
    <w:rsid w:val="000C5073"/>
    <w:rsid w:val="000C64DD"/>
    <w:rsid w:val="000C70EF"/>
    <w:rsid w:val="000D03A7"/>
    <w:rsid w:val="000D0559"/>
    <w:rsid w:val="000D0F56"/>
    <w:rsid w:val="000D1EC0"/>
    <w:rsid w:val="000D27A1"/>
    <w:rsid w:val="000D36F5"/>
    <w:rsid w:val="000D41FA"/>
    <w:rsid w:val="000D4901"/>
    <w:rsid w:val="000D5177"/>
    <w:rsid w:val="000D5D65"/>
    <w:rsid w:val="000D7B25"/>
    <w:rsid w:val="000E092A"/>
    <w:rsid w:val="000E1EA0"/>
    <w:rsid w:val="000E2301"/>
    <w:rsid w:val="000E33D5"/>
    <w:rsid w:val="000E3D8B"/>
    <w:rsid w:val="000E4109"/>
    <w:rsid w:val="000E469A"/>
    <w:rsid w:val="000E469F"/>
    <w:rsid w:val="000E52D3"/>
    <w:rsid w:val="000E54FB"/>
    <w:rsid w:val="000E58BF"/>
    <w:rsid w:val="000E5FE2"/>
    <w:rsid w:val="000E6048"/>
    <w:rsid w:val="000E6405"/>
    <w:rsid w:val="000E6EB3"/>
    <w:rsid w:val="000E70F9"/>
    <w:rsid w:val="000F0D00"/>
    <w:rsid w:val="000F1954"/>
    <w:rsid w:val="000F221C"/>
    <w:rsid w:val="000F2BCA"/>
    <w:rsid w:val="000F311D"/>
    <w:rsid w:val="000F323A"/>
    <w:rsid w:val="000F3561"/>
    <w:rsid w:val="000F37EF"/>
    <w:rsid w:val="000F3A5D"/>
    <w:rsid w:val="000F44B7"/>
    <w:rsid w:val="000F5322"/>
    <w:rsid w:val="000F64FE"/>
    <w:rsid w:val="000F6A84"/>
    <w:rsid w:val="000F73CF"/>
    <w:rsid w:val="000F7C28"/>
    <w:rsid w:val="000F7DFA"/>
    <w:rsid w:val="001001B5"/>
    <w:rsid w:val="00100744"/>
    <w:rsid w:val="00100BBF"/>
    <w:rsid w:val="001011AD"/>
    <w:rsid w:val="00101665"/>
    <w:rsid w:val="00101D44"/>
    <w:rsid w:val="00102AA0"/>
    <w:rsid w:val="00102D9B"/>
    <w:rsid w:val="00102F9E"/>
    <w:rsid w:val="0010300C"/>
    <w:rsid w:val="00103025"/>
    <w:rsid w:val="00103B15"/>
    <w:rsid w:val="00104310"/>
    <w:rsid w:val="00104327"/>
    <w:rsid w:val="00104E8A"/>
    <w:rsid w:val="001057FC"/>
    <w:rsid w:val="00105A2C"/>
    <w:rsid w:val="00105B39"/>
    <w:rsid w:val="00105D79"/>
    <w:rsid w:val="00105FB2"/>
    <w:rsid w:val="00106ECD"/>
    <w:rsid w:val="00107607"/>
    <w:rsid w:val="00107949"/>
    <w:rsid w:val="00107F0A"/>
    <w:rsid w:val="00110140"/>
    <w:rsid w:val="00111BE1"/>
    <w:rsid w:val="0011249A"/>
    <w:rsid w:val="001127FB"/>
    <w:rsid w:val="0011358D"/>
    <w:rsid w:val="00113754"/>
    <w:rsid w:val="0011431A"/>
    <w:rsid w:val="0011436B"/>
    <w:rsid w:val="0011474A"/>
    <w:rsid w:val="001148B7"/>
    <w:rsid w:val="00114E2E"/>
    <w:rsid w:val="00115CF7"/>
    <w:rsid w:val="00115EC1"/>
    <w:rsid w:val="001161C2"/>
    <w:rsid w:val="00117883"/>
    <w:rsid w:val="00117C7A"/>
    <w:rsid w:val="00120269"/>
    <w:rsid w:val="00121473"/>
    <w:rsid w:val="0012173F"/>
    <w:rsid w:val="00121A0E"/>
    <w:rsid w:val="00122019"/>
    <w:rsid w:val="00123894"/>
    <w:rsid w:val="001238BC"/>
    <w:rsid w:val="00124113"/>
    <w:rsid w:val="0012472E"/>
    <w:rsid w:val="00124B12"/>
    <w:rsid w:val="00124D26"/>
    <w:rsid w:val="00125273"/>
    <w:rsid w:val="001258CA"/>
    <w:rsid w:val="00125CB1"/>
    <w:rsid w:val="0012774A"/>
    <w:rsid w:val="00127D30"/>
    <w:rsid w:val="00130541"/>
    <w:rsid w:val="001319E8"/>
    <w:rsid w:val="00131A48"/>
    <w:rsid w:val="0013324E"/>
    <w:rsid w:val="00133ED8"/>
    <w:rsid w:val="001340AC"/>
    <w:rsid w:val="00134244"/>
    <w:rsid w:val="00134474"/>
    <w:rsid w:val="00134991"/>
    <w:rsid w:val="00134A27"/>
    <w:rsid w:val="00134A48"/>
    <w:rsid w:val="001356E7"/>
    <w:rsid w:val="00136515"/>
    <w:rsid w:val="001367CC"/>
    <w:rsid w:val="00136F2D"/>
    <w:rsid w:val="00137A9E"/>
    <w:rsid w:val="00137F31"/>
    <w:rsid w:val="001403D5"/>
    <w:rsid w:val="00140553"/>
    <w:rsid w:val="00140A00"/>
    <w:rsid w:val="00140C88"/>
    <w:rsid w:val="001411E0"/>
    <w:rsid w:val="00143673"/>
    <w:rsid w:val="001439EF"/>
    <w:rsid w:val="00143D85"/>
    <w:rsid w:val="0014450A"/>
    <w:rsid w:val="0014481D"/>
    <w:rsid w:val="001448A6"/>
    <w:rsid w:val="001451CC"/>
    <w:rsid w:val="00145202"/>
    <w:rsid w:val="001461F9"/>
    <w:rsid w:val="001469C3"/>
    <w:rsid w:val="0014711F"/>
    <w:rsid w:val="00147DCA"/>
    <w:rsid w:val="001501C9"/>
    <w:rsid w:val="0015130F"/>
    <w:rsid w:val="001522D8"/>
    <w:rsid w:val="00153570"/>
    <w:rsid w:val="001539D9"/>
    <w:rsid w:val="00153B4A"/>
    <w:rsid w:val="00153D53"/>
    <w:rsid w:val="001541A6"/>
    <w:rsid w:val="001543B2"/>
    <w:rsid w:val="00154A31"/>
    <w:rsid w:val="00154FCB"/>
    <w:rsid w:val="001556D7"/>
    <w:rsid w:val="00155E34"/>
    <w:rsid w:val="001575E8"/>
    <w:rsid w:val="001605B4"/>
    <w:rsid w:val="00160949"/>
    <w:rsid w:val="001614E9"/>
    <w:rsid w:val="00162421"/>
    <w:rsid w:val="001628F3"/>
    <w:rsid w:val="00162AEA"/>
    <w:rsid w:val="00162B6A"/>
    <w:rsid w:val="00162C05"/>
    <w:rsid w:val="00163002"/>
    <w:rsid w:val="00163601"/>
    <w:rsid w:val="00163B22"/>
    <w:rsid w:val="001648B3"/>
    <w:rsid w:val="001649A3"/>
    <w:rsid w:val="001654BC"/>
    <w:rsid w:val="00166985"/>
    <w:rsid w:val="00167006"/>
    <w:rsid w:val="0016721C"/>
    <w:rsid w:val="00172181"/>
    <w:rsid w:val="00172BBA"/>
    <w:rsid w:val="0017402E"/>
    <w:rsid w:val="00174715"/>
    <w:rsid w:val="0017522A"/>
    <w:rsid w:val="001752C3"/>
    <w:rsid w:val="00175397"/>
    <w:rsid w:val="001756A7"/>
    <w:rsid w:val="00175A78"/>
    <w:rsid w:val="00176129"/>
    <w:rsid w:val="00176250"/>
    <w:rsid w:val="00177338"/>
    <w:rsid w:val="00180389"/>
    <w:rsid w:val="00180448"/>
    <w:rsid w:val="001805BB"/>
    <w:rsid w:val="00180C63"/>
    <w:rsid w:val="00181C08"/>
    <w:rsid w:val="00181FE2"/>
    <w:rsid w:val="001820D3"/>
    <w:rsid w:val="0018234C"/>
    <w:rsid w:val="001834A6"/>
    <w:rsid w:val="001836FF"/>
    <w:rsid w:val="00183F36"/>
    <w:rsid w:val="00184666"/>
    <w:rsid w:val="00184694"/>
    <w:rsid w:val="0018616F"/>
    <w:rsid w:val="00186506"/>
    <w:rsid w:val="0018652F"/>
    <w:rsid w:val="00186735"/>
    <w:rsid w:val="00187352"/>
    <w:rsid w:val="001901C6"/>
    <w:rsid w:val="00190390"/>
    <w:rsid w:val="00190A69"/>
    <w:rsid w:val="00191060"/>
    <w:rsid w:val="00191114"/>
    <w:rsid w:val="0019122A"/>
    <w:rsid w:val="00191C78"/>
    <w:rsid w:val="0019230D"/>
    <w:rsid w:val="00192325"/>
    <w:rsid w:val="00192951"/>
    <w:rsid w:val="00192AD8"/>
    <w:rsid w:val="00192DA7"/>
    <w:rsid w:val="00192E51"/>
    <w:rsid w:val="00192E7B"/>
    <w:rsid w:val="00193078"/>
    <w:rsid w:val="0019307F"/>
    <w:rsid w:val="00195322"/>
    <w:rsid w:val="001964BB"/>
    <w:rsid w:val="00196C42"/>
    <w:rsid w:val="00197102"/>
    <w:rsid w:val="00197978"/>
    <w:rsid w:val="00197F3E"/>
    <w:rsid w:val="001A08C7"/>
    <w:rsid w:val="001A0AFE"/>
    <w:rsid w:val="001A1858"/>
    <w:rsid w:val="001A23F5"/>
    <w:rsid w:val="001A27C6"/>
    <w:rsid w:val="001A2898"/>
    <w:rsid w:val="001A3E35"/>
    <w:rsid w:val="001A3F83"/>
    <w:rsid w:val="001A40B4"/>
    <w:rsid w:val="001A40C6"/>
    <w:rsid w:val="001A44AA"/>
    <w:rsid w:val="001A5129"/>
    <w:rsid w:val="001A6744"/>
    <w:rsid w:val="001A69BC"/>
    <w:rsid w:val="001A7B4C"/>
    <w:rsid w:val="001B06D5"/>
    <w:rsid w:val="001B0A24"/>
    <w:rsid w:val="001B0AA8"/>
    <w:rsid w:val="001B1D0E"/>
    <w:rsid w:val="001B2E55"/>
    <w:rsid w:val="001B47F9"/>
    <w:rsid w:val="001B4A02"/>
    <w:rsid w:val="001B5261"/>
    <w:rsid w:val="001B618D"/>
    <w:rsid w:val="001B63F3"/>
    <w:rsid w:val="001B7447"/>
    <w:rsid w:val="001B7619"/>
    <w:rsid w:val="001B7901"/>
    <w:rsid w:val="001B7E41"/>
    <w:rsid w:val="001C09D2"/>
    <w:rsid w:val="001C0F2D"/>
    <w:rsid w:val="001C175D"/>
    <w:rsid w:val="001C1BBC"/>
    <w:rsid w:val="001C2372"/>
    <w:rsid w:val="001C2CFB"/>
    <w:rsid w:val="001C31E1"/>
    <w:rsid w:val="001C3758"/>
    <w:rsid w:val="001C3C2F"/>
    <w:rsid w:val="001C3E2B"/>
    <w:rsid w:val="001C44DE"/>
    <w:rsid w:val="001C4DB6"/>
    <w:rsid w:val="001C5521"/>
    <w:rsid w:val="001C5633"/>
    <w:rsid w:val="001C6BAF"/>
    <w:rsid w:val="001C737B"/>
    <w:rsid w:val="001C7C65"/>
    <w:rsid w:val="001D0436"/>
    <w:rsid w:val="001D108C"/>
    <w:rsid w:val="001D1357"/>
    <w:rsid w:val="001D1582"/>
    <w:rsid w:val="001D202B"/>
    <w:rsid w:val="001D2D39"/>
    <w:rsid w:val="001D342A"/>
    <w:rsid w:val="001D3C2F"/>
    <w:rsid w:val="001D4277"/>
    <w:rsid w:val="001D52EC"/>
    <w:rsid w:val="001D59FC"/>
    <w:rsid w:val="001D5A5C"/>
    <w:rsid w:val="001D637E"/>
    <w:rsid w:val="001D6F2C"/>
    <w:rsid w:val="001E00CC"/>
    <w:rsid w:val="001E07D0"/>
    <w:rsid w:val="001E1379"/>
    <w:rsid w:val="001E1A33"/>
    <w:rsid w:val="001E1AAC"/>
    <w:rsid w:val="001E1EB9"/>
    <w:rsid w:val="001E219F"/>
    <w:rsid w:val="001E402C"/>
    <w:rsid w:val="001E47D2"/>
    <w:rsid w:val="001E49BE"/>
    <w:rsid w:val="001E58FB"/>
    <w:rsid w:val="001E5E08"/>
    <w:rsid w:val="001E6C7E"/>
    <w:rsid w:val="001E75B7"/>
    <w:rsid w:val="001EFE35"/>
    <w:rsid w:val="001F10A7"/>
    <w:rsid w:val="001F1A55"/>
    <w:rsid w:val="001F1B0B"/>
    <w:rsid w:val="001F1C83"/>
    <w:rsid w:val="001F1F0B"/>
    <w:rsid w:val="001F20EC"/>
    <w:rsid w:val="001F2BFC"/>
    <w:rsid w:val="001F2C05"/>
    <w:rsid w:val="001F2D4F"/>
    <w:rsid w:val="001F312C"/>
    <w:rsid w:val="001F35C8"/>
    <w:rsid w:val="001F379E"/>
    <w:rsid w:val="001F423E"/>
    <w:rsid w:val="001F4669"/>
    <w:rsid w:val="001F4B62"/>
    <w:rsid w:val="001F4CCA"/>
    <w:rsid w:val="001F4E52"/>
    <w:rsid w:val="001F5392"/>
    <w:rsid w:val="001F53BE"/>
    <w:rsid w:val="001F60D8"/>
    <w:rsid w:val="001F62D1"/>
    <w:rsid w:val="001F66A5"/>
    <w:rsid w:val="001F79CA"/>
    <w:rsid w:val="001F9A72"/>
    <w:rsid w:val="002002FB"/>
    <w:rsid w:val="002005D2"/>
    <w:rsid w:val="00201D0C"/>
    <w:rsid w:val="00201FE9"/>
    <w:rsid w:val="0020215C"/>
    <w:rsid w:val="002028DB"/>
    <w:rsid w:val="002030DF"/>
    <w:rsid w:val="002030F9"/>
    <w:rsid w:val="0020346A"/>
    <w:rsid w:val="002035B0"/>
    <w:rsid w:val="002035B8"/>
    <w:rsid w:val="00203E81"/>
    <w:rsid w:val="0020408F"/>
    <w:rsid w:val="0020494B"/>
    <w:rsid w:val="00204C35"/>
    <w:rsid w:val="00206707"/>
    <w:rsid w:val="00206A3A"/>
    <w:rsid w:val="00207828"/>
    <w:rsid w:val="00207DDE"/>
    <w:rsid w:val="002103DC"/>
    <w:rsid w:val="00210510"/>
    <w:rsid w:val="002106E7"/>
    <w:rsid w:val="00210E47"/>
    <w:rsid w:val="00212529"/>
    <w:rsid w:val="0021298E"/>
    <w:rsid w:val="002133C1"/>
    <w:rsid w:val="0021459E"/>
    <w:rsid w:val="00215099"/>
    <w:rsid w:val="00215E9A"/>
    <w:rsid w:val="00216033"/>
    <w:rsid w:val="00216F3F"/>
    <w:rsid w:val="00217174"/>
    <w:rsid w:val="002178F6"/>
    <w:rsid w:val="00220333"/>
    <w:rsid w:val="002205E7"/>
    <w:rsid w:val="002208E4"/>
    <w:rsid w:val="00220A07"/>
    <w:rsid w:val="00221555"/>
    <w:rsid w:val="0022183C"/>
    <w:rsid w:val="00222074"/>
    <w:rsid w:val="0022275A"/>
    <w:rsid w:val="00222955"/>
    <w:rsid w:val="00224E0E"/>
    <w:rsid w:val="00224E47"/>
    <w:rsid w:val="00224E48"/>
    <w:rsid w:val="00224ED9"/>
    <w:rsid w:val="00225098"/>
    <w:rsid w:val="002261AC"/>
    <w:rsid w:val="0022675F"/>
    <w:rsid w:val="00226B8C"/>
    <w:rsid w:val="00227E01"/>
    <w:rsid w:val="00230F75"/>
    <w:rsid w:val="002311C2"/>
    <w:rsid w:val="0023191A"/>
    <w:rsid w:val="002319D1"/>
    <w:rsid w:val="00231B36"/>
    <w:rsid w:val="00231EF6"/>
    <w:rsid w:val="00231F04"/>
    <w:rsid w:val="0023200F"/>
    <w:rsid w:val="002324ED"/>
    <w:rsid w:val="0023276B"/>
    <w:rsid w:val="00232928"/>
    <w:rsid w:val="00232A73"/>
    <w:rsid w:val="00232BB0"/>
    <w:rsid w:val="002331F6"/>
    <w:rsid w:val="002349DD"/>
    <w:rsid w:val="002358C8"/>
    <w:rsid w:val="00236292"/>
    <w:rsid w:val="0023693E"/>
    <w:rsid w:val="00236D02"/>
    <w:rsid w:val="002374FB"/>
    <w:rsid w:val="002401E1"/>
    <w:rsid w:val="0024187E"/>
    <w:rsid w:val="0024239E"/>
    <w:rsid w:val="00242B78"/>
    <w:rsid w:val="00244359"/>
    <w:rsid w:val="00244F88"/>
    <w:rsid w:val="002454F8"/>
    <w:rsid w:val="00245521"/>
    <w:rsid w:val="00245570"/>
    <w:rsid w:val="002465C8"/>
    <w:rsid w:val="00246C7A"/>
    <w:rsid w:val="00247150"/>
    <w:rsid w:val="00247663"/>
    <w:rsid w:val="00247C25"/>
    <w:rsid w:val="002517E9"/>
    <w:rsid w:val="00251A49"/>
    <w:rsid w:val="00251F01"/>
    <w:rsid w:val="00251FA7"/>
    <w:rsid w:val="00252000"/>
    <w:rsid w:val="00252061"/>
    <w:rsid w:val="002525E2"/>
    <w:rsid w:val="00252A8F"/>
    <w:rsid w:val="00252B9D"/>
    <w:rsid w:val="002531D3"/>
    <w:rsid w:val="002536DD"/>
    <w:rsid w:val="00253D77"/>
    <w:rsid w:val="00253E3E"/>
    <w:rsid w:val="002549E7"/>
    <w:rsid w:val="00254F76"/>
    <w:rsid w:val="002555DE"/>
    <w:rsid w:val="00255E86"/>
    <w:rsid w:val="0025645F"/>
    <w:rsid w:val="002568E8"/>
    <w:rsid w:val="0025705F"/>
    <w:rsid w:val="002573CB"/>
    <w:rsid w:val="00257C47"/>
    <w:rsid w:val="002600D6"/>
    <w:rsid w:val="002626D0"/>
    <w:rsid w:val="0026355A"/>
    <w:rsid w:val="0026389B"/>
    <w:rsid w:val="00263ECA"/>
    <w:rsid w:val="00264F53"/>
    <w:rsid w:val="00265A26"/>
    <w:rsid w:val="00265DFC"/>
    <w:rsid w:val="0026648E"/>
    <w:rsid w:val="002674F0"/>
    <w:rsid w:val="0027056D"/>
    <w:rsid w:val="00270709"/>
    <w:rsid w:val="00272633"/>
    <w:rsid w:val="00273336"/>
    <w:rsid w:val="0027408C"/>
    <w:rsid w:val="00274389"/>
    <w:rsid w:val="002746B1"/>
    <w:rsid w:val="002750AE"/>
    <w:rsid w:val="0027638A"/>
    <w:rsid w:val="002766A2"/>
    <w:rsid w:val="002771A3"/>
    <w:rsid w:val="00277F05"/>
    <w:rsid w:val="0028047C"/>
    <w:rsid w:val="00280B90"/>
    <w:rsid w:val="00281192"/>
    <w:rsid w:val="00281579"/>
    <w:rsid w:val="00281DD5"/>
    <w:rsid w:val="002822DC"/>
    <w:rsid w:val="002822FE"/>
    <w:rsid w:val="0028234E"/>
    <w:rsid w:val="0028340B"/>
    <w:rsid w:val="0028372E"/>
    <w:rsid w:val="002837D2"/>
    <w:rsid w:val="00283830"/>
    <w:rsid w:val="00283863"/>
    <w:rsid w:val="0028418B"/>
    <w:rsid w:val="002841BB"/>
    <w:rsid w:val="00284D4F"/>
    <w:rsid w:val="00285470"/>
    <w:rsid w:val="00286F9E"/>
    <w:rsid w:val="00290159"/>
    <w:rsid w:val="00290666"/>
    <w:rsid w:val="002911BB"/>
    <w:rsid w:val="00291EF9"/>
    <w:rsid w:val="00292983"/>
    <w:rsid w:val="00293922"/>
    <w:rsid w:val="00293BEB"/>
    <w:rsid w:val="002942A0"/>
    <w:rsid w:val="0029458D"/>
    <w:rsid w:val="00294690"/>
    <w:rsid w:val="00294ABB"/>
    <w:rsid w:val="0029521B"/>
    <w:rsid w:val="00295817"/>
    <w:rsid w:val="00295A7F"/>
    <w:rsid w:val="00295ED1"/>
    <w:rsid w:val="00296687"/>
    <w:rsid w:val="00296F35"/>
    <w:rsid w:val="002A0386"/>
    <w:rsid w:val="002A105A"/>
    <w:rsid w:val="002A1236"/>
    <w:rsid w:val="002A1606"/>
    <w:rsid w:val="002A1623"/>
    <w:rsid w:val="002A16C9"/>
    <w:rsid w:val="002A29B7"/>
    <w:rsid w:val="002A2E67"/>
    <w:rsid w:val="002A3311"/>
    <w:rsid w:val="002A35CD"/>
    <w:rsid w:val="002A3632"/>
    <w:rsid w:val="002A365C"/>
    <w:rsid w:val="002A4D1C"/>
    <w:rsid w:val="002A612C"/>
    <w:rsid w:val="002A6B1E"/>
    <w:rsid w:val="002A6B8C"/>
    <w:rsid w:val="002A6D6F"/>
    <w:rsid w:val="002A7FAD"/>
    <w:rsid w:val="002B0B52"/>
    <w:rsid w:val="002B0C1D"/>
    <w:rsid w:val="002B0C7B"/>
    <w:rsid w:val="002B14BB"/>
    <w:rsid w:val="002B1A44"/>
    <w:rsid w:val="002B1E48"/>
    <w:rsid w:val="002B1E58"/>
    <w:rsid w:val="002B2D79"/>
    <w:rsid w:val="002B2EED"/>
    <w:rsid w:val="002B33C0"/>
    <w:rsid w:val="002B36A3"/>
    <w:rsid w:val="002B3993"/>
    <w:rsid w:val="002B3A64"/>
    <w:rsid w:val="002B3E5F"/>
    <w:rsid w:val="002B4046"/>
    <w:rsid w:val="002B4500"/>
    <w:rsid w:val="002B4D98"/>
    <w:rsid w:val="002B514F"/>
    <w:rsid w:val="002B6973"/>
    <w:rsid w:val="002B726D"/>
    <w:rsid w:val="002B79A9"/>
    <w:rsid w:val="002C1386"/>
    <w:rsid w:val="002C1733"/>
    <w:rsid w:val="002C1C16"/>
    <w:rsid w:val="002C2D16"/>
    <w:rsid w:val="002C307A"/>
    <w:rsid w:val="002C34DC"/>
    <w:rsid w:val="002C3BF0"/>
    <w:rsid w:val="002C3D90"/>
    <w:rsid w:val="002C3ECC"/>
    <w:rsid w:val="002C439D"/>
    <w:rsid w:val="002C48C7"/>
    <w:rsid w:val="002C4B74"/>
    <w:rsid w:val="002C562B"/>
    <w:rsid w:val="002C58EE"/>
    <w:rsid w:val="002C5BF4"/>
    <w:rsid w:val="002C63E8"/>
    <w:rsid w:val="002C6F08"/>
    <w:rsid w:val="002C6F99"/>
    <w:rsid w:val="002C75E1"/>
    <w:rsid w:val="002D0411"/>
    <w:rsid w:val="002D1ED2"/>
    <w:rsid w:val="002D1FBC"/>
    <w:rsid w:val="002D204A"/>
    <w:rsid w:val="002D216B"/>
    <w:rsid w:val="002D283F"/>
    <w:rsid w:val="002D30FF"/>
    <w:rsid w:val="002D36FF"/>
    <w:rsid w:val="002D3CF2"/>
    <w:rsid w:val="002D46DF"/>
    <w:rsid w:val="002D669E"/>
    <w:rsid w:val="002D699C"/>
    <w:rsid w:val="002D6A94"/>
    <w:rsid w:val="002D76F7"/>
    <w:rsid w:val="002D782D"/>
    <w:rsid w:val="002D7852"/>
    <w:rsid w:val="002E025B"/>
    <w:rsid w:val="002E0716"/>
    <w:rsid w:val="002E0AD4"/>
    <w:rsid w:val="002E1393"/>
    <w:rsid w:val="002E1D1E"/>
    <w:rsid w:val="002E1D8D"/>
    <w:rsid w:val="002E2EF7"/>
    <w:rsid w:val="002E3853"/>
    <w:rsid w:val="002E5DD0"/>
    <w:rsid w:val="002E5E5D"/>
    <w:rsid w:val="002E5F75"/>
    <w:rsid w:val="002E63D3"/>
    <w:rsid w:val="002E6522"/>
    <w:rsid w:val="002E65F2"/>
    <w:rsid w:val="002E6A25"/>
    <w:rsid w:val="002E77BC"/>
    <w:rsid w:val="002E7C5E"/>
    <w:rsid w:val="002F0EB9"/>
    <w:rsid w:val="002F1590"/>
    <w:rsid w:val="002F305C"/>
    <w:rsid w:val="002F3143"/>
    <w:rsid w:val="002F31D4"/>
    <w:rsid w:val="002F3232"/>
    <w:rsid w:val="002F34CD"/>
    <w:rsid w:val="002F3A64"/>
    <w:rsid w:val="002F3E0F"/>
    <w:rsid w:val="002F40E2"/>
    <w:rsid w:val="002F4C7D"/>
    <w:rsid w:val="002F4E0F"/>
    <w:rsid w:val="002F5E06"/>
    <w:rsid w:val="002F66EC"/>
    <w:rsid w:val="002F7426"/>
    <w:rsid w:val="002F7BAA"/>
    <w:rsid w:val="002F7EBA"/>
    <w:rsid w:val="0030055F"/>
    <w:rsid w:val="00300CE9"/>
    <w:rsid w:val="00300E98"/>
    <w:rsid w:val="003010B0"/>
    <w:rsid w:val="00301203"/>
    <w:rsid w:val="00301AD7"/>
    <w:rsid w:val="00302EB6"/>
    <w:rsid w:val="003032CE"/>
    <w:rsid w:val="003035EC"/>
    <w:rsid w:val="00303CA8"/>
    <w:rsid w:val="003045B1"/>
    <w:rsid w:val="003049C9"/>
    <w:rsid w:val="003054F5"/>
    <w:rsid w:val="0030566E"/>
    <w:rsid w:val="00305B5B"/>
    <w:rsid w:val="003060EC"/>
    <w:rsid w:val="003066F6"/>
    <w:rsid w:val="00306C61"/>
    <w:rsid w:val="0030709C"/>
    <w:rsid w:val="00307406"/>
    <w:rsid w:val="0030784C"/>
    <w:rsid w:val="003079B4"/>
    <w:rsid w:val="003101C0"/>
    <w:rsid w:val="00310B51"/>
    <w:rsid w:val="003111E5"/>
    <w:rsid w:val="0031172A"/>
    <w:rsid w:val="00312120"/>
    <w:rsid w:val="0031249B"/>
    <w:rsid w:val="003125B6"/>
    <w:rsid w:val="003128D2"/>
    <w:rsid w:val="0031350E"/>
    <w:rsid w:val="0031359F"/>
    <w:rsid w:val="003136BB"/>
    <w:rsid w:val="00313C5F"/>
    <w:rsid w:val="003146A9"/>
    <w:rsid w:val="00314D3C"/>
    <w:rsid w:val="00314E2C"/>
    <w:rsid w:val="003157C8"/>
    <w:rsid w:val="003165AB"/>
    <w:rsid w:val="00316B2D"/>
    <w:rsid w:val="00317564"/>
    <w:rsid w:val="00317665"/>
    <w:rsid w:val="00320362"/>
    <w:rsid w:val="00321C99"/>
    <w:rsid w:val="00321D2F"/>
    <w:rsid w:val="00321DF0"/>
    <w:rsid w:val="00322700"/>
    <w:rsid w:val="00322AD9"/>
    <w:rsid w:val="00323781"/>
    <w:rsid w:val="0032384C"/>
    <w:rsid w:val="003239D5"/>
    <w:rsid w:val="00323A76"/>
    <w:rsid w:val="00323D87"/>
    <w:rsid w:val="003240FB"/>
    <w:rsid w:val="00324BE7"/>
    <w:rsid w:val="00324F04"/>
    <w:rsid w:val="00325C47"/>
    <w:rsid w:val="0032624E"/>
    <w:rsid w:val="00326AD5"/>
    <w:rsid w:val="00326EF6"/>
    <w:rsid w:val="003271AF"/>
    <w:rsid w:val="00327EBC"/>
    <w:rsid w:val="003309C5"/>
    <w:rsid w:val="00330FCE"/>
    <w:rsid w:val="0033107E"/>
    <w:rsid w:val="00331904"/>
    <w:rsid w:val="00331A1E"/>
    <w:rsid w:val="00331B60"/>
    <w:rsid w:val="00331F32"/>
    <w:rsid w:val="00332E62"/>
    <w:rsid w:val="00334C22"/>
    <w:rsid w:val="003357E5"/>
    <w:rsid w:val="00335DFF"/>
    <w:rsid w:val="00335ECB"/>
    <w:rsid w:val="00336571"/>
    <w:rsid w:val="00336EC0"/>
    <w:rsid w:val="003376BE"/>
    <w:rsid w:val="00337E30"/>
    <w:rsid w:val="003409C6"/>
    <w:rsid w:val="00340C3E"/>
    <w:rsid w:val="00340FEC"/>
    <w:rsid w:val="00341208"/>
    <w:rsid w:val="003422D6"/>
    <w:rsid w:val="00342415"/>
    <w:rsid w:val="0034273E"/>
    <w:rsid w:val="0034277C"/>
    <w:rsid w:val="00343035"/>
    <w:rsid w:val="0034324A"/>
    <w:rsid w:val="00343546"/>
    <w:rsid w:val="0034363F"/>
    <w:rsid w:val="00344206"/>
    <w:rsid w:val="0034448E"/>
    <w:rsid w:val="003445DF"/>
    <w:rsid w:val="00345A60"/>
    <w:rsid w:val="00345C3D"/>
    <w:rsid w:val="00345D74"/>
    <w:rsid w:val="0034623C"/>
    <w:rsid w:val="00347685"/>
    <w:rsid w:val="00347DB2"/>
    <w:rsid w:val="0035087B"/>
    <w:rsid w:val="003521B5"/>
    <w:rsid w:val="00352229"/>
    <w:rsid w:val="00352233"/>
    <w:rsid w:val="003529A3"/>
    <w:rsid w:val="00352C4B"/>
    <w:rsid w:val="003532F5"/>
    <w:rsid w:val="0035332A"/>
    <w:rsid w:val="00353F74"/>
    <w:rsid w:val="00354650"/>
    <w:rsid w:val="00355122"/>
    <w:rsid w:val="00356211"/>
    <w:rsid w:val="00360F70"/>
    <w:rsid w:val="00361117"/>
    <w:rsid w:val="00361371"/>
    <w:rsid w:val="00361849"/>
    <w:rsid w:val="003618D2"/>
    <w:rsid w:val="00361CF1"/>
    <w:rsid w:val="00362670"/>
    <w:rsid w:val="00362B9B"/>
    <w:rsid w:val="00362D50"/>
    <w:rsid w:val="00362D90"/>
    <w:rsid w:val="003631C2"/>
    <w:rsid w:val="00363CB8"/>
    <w:rsid w:val="00363FD1"/>
    <w:rsid w:val="0036456B"/>
    <w:rsid w:val="00365EE1"/>
    <w:rsid w:val="00365FFF"/>
    <w:rsid w:val="00366DCA"/>
    <w:rsid w:val="00366DDF"/>
    <w:rsid w:val="0036748F"/>
    <w:rsid w:val="00367AED"/>
    <w:rsid w:val="00367C4D"/>
    <w:rsid w:val="0037012F"/>
    <w:rsid w:val="00370FDE"/>
    <w:rsid w:val="003713F8"/>
    <w:rsid w:val="00372284"/>
    <w:rsid w:val="00372971"/>
    <w:rsid w:val="00372999"/>
    <w:rsid w:val="00372FC6"/>
    <w:rsid w:val="00373B7C"/>
    <w:rsid w:val="00373FC7"/>
    <w:rsid w:val="0037535C"/>
    <w:rsid w:val="00375558"/>
    <w:rsid w:val="0037582B"/>
    <w:rsid w:val="00376EDF"/>
    <w:rsid w:val="00377481"/>
    <w:rsid w:val="00377E1F"/>
    <w:rsid w:val="00377EDB"/>
    <w:rsid w:val="003803C7"/>
    <w:rsid w:val="00380431"/>
    <w:rsid w:val="00380D85"/>
    <w:rsid w:val="003824FB"/>
    <w:rsid w:val="0038283F"/>
    <w:rsid w:val="00382C0A"/>
    <w:rsid w:val="00383B1F"/>
    <w:rsid w:val="00384986"/>
    <w:rsid w:val="00384E5A"/>
    <w:rsid w:val="00386D8E"/>
    <w:rsid w:val="00390690"/>
    <w:rsid w:val="00390863"/>
    <w:rsid w:val="00390F64"/>
    <w:rsid w:val="003919DB"/>
    <w:rsid w:val="00392FF1"/>
    <w:rsid w:val="003935A0"/>
    <w:rsid w:val="00394D58"/>
    <w:rsid w:val="0039694C"/>
    <w:rsid w:val="003974A9"/>
    <w:rsid w:val="003974CB"/>
    <w:rsid w:val="00397FCA"/>
    <w:rsid w:val="003A0044"/>
    <w:rsid w:val="003A0A0C"/>
    <w:rsid w:val="003A0DEC"/>
    <w:rsid w:val="003A0FA5"/>
    <w:rsid w:val="003A0FC0"/>
    <w:rsid w:val="003A2698"/>
    <w:rsid w:val="003A2837"/>
    <w:rsid w:val="003A2ED6"/>
    <w:rsid w:val="003A311E"/>
    <w:rsid w:val="003A36DC"/>
    <w:rsid w:val="003A467C"/>
    <w:rsid w:val="003A4850"/>
    <w:rsid w:val="003A49DA"/>
    <w:rsid w:val="003A5764"/>
    <w:rsid w:val="003A5E5C"/>
    <w:rsid w:val="003A638C"/>
    <w:rsid w:val="003A6610"/>
    <w:rsid w:val="003A74BD"/>
    <w:rsid w:val="003A7FCC"/>
    <w:rsid w:val="003B02E5"/>
    <w:rsid w:val="003B04B4"/>
    <w:rsid w:val="003B16E2"/>
    <w:rsid w:val="003B1878"/>
    <w:rsid w:val="003B2074"/>
    <w:rsid w:val="003B2C39"/>
    <w:rsid w:val="003B38EC"/>
    <w:rsid w:val="003B4529"/>
    <w:rsid w:val="003B4538"/>
    <w:rsid w:val="003B4682"/>
    <w:rsid w:val="003B4733"/>
    <w:rsid w:val="003B48E7"/>
    <w:rsid w:val="003B5DE6"/>
    <w:rsid w:val="003B6B02"/>
    <w:rsid w:val="003B7292"/>
    <w:rsid w:val="003B7834"/>
    <w:rsid w:val="003B7C23"/>
    <w:rsid w:val="003C0BB8"/>
    <w:rsid w:val="003C0DEA"/>
    <w:rsid w:val="003C0EEE"/>
    <w:rsid w:val="003C13F5"/>
    <w:rsid w:val="003C1E39"/>
    <w:rsid w:val="003C2622"/>
    <w:rsid w:val="003C27B6"/>
    <w:rsid w:val="003C2999"/>
    <w:rsid w:val="003C2D2D"/>
    <w:rsid w:val="003C365E"/>
    <w:rsid w:val="003C4110"/>
    <w:rsid w:val="003C463E"/>
    <w:rsid w:val="003C4B7A"/>
    <w:rsid w:val="003C4BB6"/>
    <w:rsid w:val="003C4DB2"/>
    <w:rsid w:val="003C549F"/>
    <w:rsid w:val="003C55E9"/>
    <w:rsid w:val="003C6782"/>
    <w:rsid w:val="003C699F"/>
    <w:rsid w:val="003C713E"/>
    <w:rsid w:val="003C750A"/>
    <w:rsid w:val="003C7751"/>
    <w:rsid w:val="003D02DC"/>
    <w:rsid w:val="003D03A6"/>
    <w:rsid w:val="003D0CAB"/>
    <w:rsid w:val="003D10E5"/>
    <w:rsid w:val="003D171F"/>
    <w:rsid w:val="003D19C0"/>
    <w:rsid w:val="003D1F1A"/>
    <w:rsid w:val="003D2077"/>
    <w:rsid w:val="003D3137"/>
    <w:rsid w:val="003D3506"/>
    <w:rsid w:val="003D3BA9"/>
    <w:rsid w:val="003D471C"/>
    <w:rsid w:val="003D486E"/>
    <w:rsid w:val="003D5D21"/>
    <w:rsid w:val="003D67D6"/>
    <w:rsid w:val="003D6E76"/>
    <w:rsid w:val="003E0199"/>
    <w:rsid w:val="003E05FA"/>
    <w:rsid w:val="003E1D0B"/>
    <w:rsid w:val="003E3348"/>
    <w:rsid w:val="003E3BC1"/>
    <w:rsid w:val="003E3E92"/>
    <w:rsid w:val="003E4AF9"/>
    <w:rsid w:val="003E5645"/>
    <w:rsid w:val="003E748C"/>
    <w:rsid w:val="003E7503"/>
    <w:rsid w:val="003E7CFF"/>
    <w:rsid w:val="003F0860"/>
    <w:rsid w:val="003F17A2"/>
    <w:rsid w:val="003F1A68"/>
    <w:rsid w:val="003F1DB4"/>
    <w:rsid w:val="003F34CB"/>
    <w:rsid w:val="003F4C02"/>
    <w:rsid w:val="003F6782"/>
    <w:rsid w:val="003F6B61"/>
    <w:rsid w:val="003F6BCB"/>
    <w:rsid w:val="003F6DEB"/>
    <w:rsid w:val="003F70B4"/>
    <w:rsid w:val="003F7769"/>
    <w:rsid w:val="003F7987"/>
    <w:rsid w:val="004002C9"/>
    <w:rsid w:val="00400622"/>
    <w:rsid w:val="00401D8D"/>
    <w:rsid w:val="004025F4"/>
    <w:rsid w:val="00402A18"/>
    <w:rsid w:val="00402E11"/>
    <w:rsid w:val="004038B0"/>
    <w:rsid w:val="00403A4B"/>
    <w:rsid w:val="004042FC"/>
    <w:rsid w:val="00404B76"/>
    <w:rsid w:val="00404DBF"/>
    <w:rsid w:val="00404DCD"/>
    <w:rsid w:val="004051E6"/>
    <w:rsid w:val="00405DF0"/>
    <w:rsid w:val="004060E1"/>
    <w:rsid w:val="00406C63"/>
    <w:rsid w:val="004072CC"/>
    <w:rsid w:val="0040757F"/>
    <w:rsid w:val="00407EF4"/>
    <w:rsid w:val="00407F99"/>
    <w:rsid w:val="00410B9A"/>
    <w:rsid w:val="004126A1"/>
    <w:rsid w:val="00413409"/>
    <w:rsid w:val="004135BE"/>
    <w:rsid w:val="004139A6"/>
    <w:rsid w:val="004145ED"/>
    <w:rsid w:val="00414FCD"/>
    <w:rsid w:val="0041607D"/>
    <w:rsid w:val="00416130"/>
    <w:rsid w:val="00416C8B"/>
    <w:rsid w:val="00417D72"/>
    <w:rsid w:val="00420038"/>
    <w:rsid w:val="0042010F"/>
    <w:rsid w:val="004201D7"/>
    <w:rsid w:val="004209DE"/>
    <w:rsid w:val="004210C1"/>
    <w:rsid w:val="004218AB"/>
    <w:rsid w:val="00422663"/>
    <w:rsid w:val="004230D4"/>
    <w:rsid w:val="00423CAA"/>
    <w:rsid w:val="00423D5F"/>
    <w:rsid w:val="00424309"/>
    <w:rsid w:val="0042477A"/>
    <w:rsid w:val="00424AE7"/>
    <w:rsid w:val="00425B8F"/>
    <w:rsid w:val="00426299"/>
    <w:rsid w:val="00426A7F"/>
    <w:rsid w:val="004272CF"/>
    <w:rsid w:val="00427BC2"/>
    <w:rsid w:val="0043014F"/>
    <w:rsid w:val="0043040B"/>
    <w:rsid w:val="0043048D"/>
    <w:rsid w:val="004304CD"/>
    <w:rsid w:val="00430E72"/>
    <w:rsid w:val="00430F27"/>
    <w:rsid w:val="00430F3C"/>
    <w:rsid w:val="0043194B"/>
    <w:rsid w:val="00432375"/>
    <w:rsid w:val="00432A18"/>
    <w:rsid w:val="00432A55"/>
    <w:rsid w:val="00432A9C"/>
    <w:rsid w:val="00432F7B"/>
    <w:rsid w:val="00433EC7"/>
    <w:rsid w:val="00433FFC"/>
    <w:rsid w:val="004352D1"/>
    <w:rsid w:val="00435466"/>
    <w:rsid w:val="004358E6"/>
    <w:rsid w:val="00435F8E"/>
    <w:rsid w:val="00436EEE"/>
    <w:rsid w:val="00437149"/>
    <w:rsid w:val="00437F89"/>
    <w:rsid w:val="004400F5"/>
    <w:rsid w:val="0044012A"/>
    <w:rsid w:val="004402DF"/>
    <w:rsid w:val="0044070A"/>
    <w:rsid w:val="00440A0A"/>
    <w:rsid w:val="00440C2D"/>
    <w:rsid w:val="004414F3"/>
    <w:rsid w:val="00442283"/>
    <w:rsid w:val="004428CB"/>
    <w:rsid w:val="00442E69"/>
    <w:rsid w:val="00444B23"/>
    <w:rsid w:val="00444F93"/>
    <w:rsid w:val="00445B8A"/>
    <w:rsid w:val="00445F77"/>
    <w:rsid w:val="00447E69"/>
    <w:rsid w:val="0045005E"/>
    <w:rsid w:val="00450330"/>
    <w:rsid w:val="0045066F"/>
    <w:rsid w:val="0045078C"/>
    <w:rsid w:val="00450E93"/>
    <w:rsid w:val="00452525"/>
    <w:rsid w:val="00452A90"/>
    <w:rsid w:val="0045532A"/>
    <w:rsid w:val="00455605"/>
    <w:rsid w:val="00455B9B"/>
    <w:rsid w:val="004565CB"/>
    <w:rsid w:val="00456E02"/>
    <w:rsid w:val="00457684"/>
    <w:rsid w:val="0045785A"/>
    <w:rsid w:val="00460472"/>
    <w:rsid w:val="0046048C"/>
    <w:rsid w:val="00460B96"/>
    <w:rsid w:val="00460C64"/>
    <w:rsid w:val="00461B9A"/>
    <w:rsid w:val="00461F24"/>
    <w:rsid w:val="00462C88"/>
    <w:rsid w:val="0046303D"/>
    <w:rsid w:val="0046371D"/>
    <w:rsid w:val="004638B1"/>
    <w:rsid w:val="00464115"/>
    <w:rsid w:val="00464769"/>
    <w:rsid w:val="00464813"/>
    <w:rsid w:val="00464CFB"/>
    <w:rsid w:val="0046591B"/>
    <w:rsid w:val="00465C52"/>
    <w:rsid w:val="004668D0"/>
    <w:rsid w:val="00466903"/>
    <w:rsid w:val="004674A8"/>
    <w:rsid w:val="00467603"/>
    <w:rsid w:val="00467F09"/>
    <w:rsid w:val="00470787"/>
    <w:rsid w:val="00471997"/>
    <w:rsid w:val="00471C24"/>
    <w:rsid w:val="00472489"/>
    <w:rsid w:val="0047267F"/>
    <w:rsid w:val="0047268D"/>
    <w:rsid w:val="004729B4"/>
    <w:rsid w:val="00473963"/>
    <w:rsid w:val="00475500"/>
    <w:rsid w:val="00475F04"/>
    <w:rsid w:val="00476966"/>
    <w:rsid w:val="004769CC"/>
    <w:rsid w:val="00476FB2"/>
    <w:rsid w:val="00477252"/>
    <w:rsid w:val="00477A80"/>
    <w:rsid w:val="00477E54"/>
    <w:rsid w:val="00477FA1"/>
    <w:rsid w:val="004816D0"/>
    <w:rsid w:val="00481AF9"/>
    <w:rsid w:val="00482472"/>
    <w:rsid w:val="0048275B"/>
    <w:rsid w:val="00482A9D"/>
    <w:rsid w:val="00483035"/>
    <w:rsid w:val="00483C5D"/>
    <w:rsid w:val="00483F02"/>
    <w:rsid w:val="00484D1E"/>
    <w:rsid w:val="00484EFF"/>
    <w:rsid w:val="00485319"/>
    <w:rsid w:val="00485378"/>
    <w:rsid w:val="004857F4"/>
    <w:rsid w:val="004859E4"/>
    <w:rsid w:val="004860B4"/>
    <w:rsid w:val="0048643F"/>
    <w:rsid w:val="004869EE"/>
    <w:rsid w:val="0048702D"/>
    <w:rsid w:val="004870AA"/>
    <w:rsid w:val="004875E4"/>
    <w:rsid w:val="00487755"/>
    <w:rsid w:val="004878F0"/>
    <w:rsid w:val="00490658"/>
    <w:rsid w:val="00491596"/>
    <w:rsid w:val="00491E16"/>
    <w:rsid w:val="00492345"/>
    <w:rsid w:val="004923B6"/>
    <w:rsid w:val="00492C47"/>
    <w:rsid w:val="00492D90"/>
    <w:rsid w:val="004950CD"/>
    <w:rsid w:val="0049543B"/>
    <w:rsid w:val="0049572C"/>
    <w:rsid w:val="00495C70"/>
    <w:rsid w:val="0049610A"/>
    <w:rsid w:val="00496E81"/>
    <w:rsid w:val="004971CE"/>
    <w:rsid w:val="004977B0"/>
    <w:rsid w:val="00497851"/>
    <w:rsid w:val="00497986"/>
    <w:rsid w:val="004A0701"/>
    <w:rsid w:val="004A1048"/>
    <w:rsid w:val="004A1837"/>
    <w:rsid w:val="004A206E"/>
    <w:rsid w:val="004A25C0"/>
    <w:rsid w:val="004A25FA"/>
    <w:rsid w:val="004A26F2"/>
    <w:rsid w:val="004A2E41"/>
    <w:rsid w:val="004A2F3F"/>
    <w:rsid w:val="004A3524"/>
    <w:rsid w:val="004A3BC6"/>
    <w:rsid w:val="004A4292"/>
    <w:rsid w:val="004A47B5"/>
    <w:rsid w:val="004A6570"/>
    <w:rsid w:val="004A6942"/>
    <w:rsid w:val="004A7080"/>
    <w:rsid w:val="004A7C4D"/>
    <w:rsid w:val="004A7E47"/>
    <w:rsid w:val="004B1EE6"/>
    <w:rsid w:val="004B383C"/>
    <w:rsid w:val="004B3E44"/>
    <w:rsid w:val="004B3F7E"/>
    <w:rsid w:val="004B476C"/>
    <w:rsid w:val="004B4AF4"/>
    <w:rsid w:val="004B58B5"/>
    <w:rsid w:val="004B5DC7"/>
    <w:rsid w:val="004B5E89"/>
    <w:rsid w:val="004B632F"/>
    <w:rsid w:val="004B63A0"/>
    <w:rsid w:val="004B697D"/>
    <w:rsid w:val="004B7624"/>
    <w:rsid w:val="004B7B94"/>
    <w:rsid w:val="004C0028"/>
    <w:rsid w:val="004C026D"/>
    <w:rsid w:val="004C099B"/>
    <w:rsid w:val="004C0FC0"/>
    <w:rsid w:val="004C1675"/>
    <w:rsid w:val="004C17BC"/>
    <w:rsid w:val="004C1A79"/>
    <w:rsid w:val="004C24B3"/>
    <w:rsid w:val="004C2648"/>
    <w:rsid w:val="004C29F2"/>
    <w:rsid w:val="004C4042"/>
    <w:rsid w:val="004C4A79"/>
    <w:rsid w:val="004C4E3F"/>
    <w:rsid w:val="004C519E"/>
    <w:rsid w:val="004C53C7"/>
    <w:rsid w:val="004C5644"/>
    <w:rsid w:val="004C62D6"/>
    <w:rsid w:val="004C7A45"/>
    <w:rsid w:val="004D0063"/>
    <w:rsid w:val="004D0B25"/>
    <w:rsid w:val="004D1CCF"/>
    <w:rsid w:val="004D2589"/>
    <w:rsid w:val="004D350E"/>
    <w:rsid w:val="004D4D92"/>
    <w:rsid w:val="004D549B"/>
    <w:rsid w:val="004D564F"/>
    <w:rsid w:val="004D6144"/>
    <w:rsid w:val="004D72AB"/>
    <w:rsid w:val="004D72D8"/>
    <w:rsid w:val="004E03F4"/>
    <w:rsid w:val="004E0E9E"/>
    <w:rsid w:val="004E0F78"/>
    <w:rsid w:val="004E15DF"/>
    <w:rsid w:val="004E22DD"/>
    <w:rsid w:val="004E2485"/>
    <w:rsid w:val="004E280F"/>
    <w:rsid w:val="004E365D"/>
    <w:rsid w:val="004E4790"/>
    <w:rsid w:val="004E56D7"/>
    <w:rsid w:val="004E56F9"/>
    <w:rsid w:val="004E5747"/>
    <w:rsid w:val="004E57DB"/>
    <w:rsid w:val="004E5AA5"/>
    <w:rsid w:val="004E66C2"/>
    <w:rsid w:val="004E6725"/>
    <w:rsid w:val="004E6AB2"/>
    <w:rsid w:val="004E6ABC"/>
    <w:rsid w:val="004E6E52"/>
    <w:rsid w:val="004E7D36"/>
    <w:rsid w:val="004E7DF4"/>
    <w:rsid w:val="004F071D"/>
    <w:rsid w:val="004F0BB8"/>
    <w:rsid w:val="004F128D"/>
    <w:rsid w:val="004F16ED"/>
    <w:rsid w:val="004F1738"/>
    <w:rsid w:val="004F1848"/>
    <w:rsid w:val="004F192E"/>
    <w:rsid w:val="004F26CD"/>
    <w:rsid w:val="004F2DA8"/>
    <w:rsid w:val="004F301E"/>
    <w:rsid w:val="004F3226"/>
    <w:rsid w:val="004F36D5"/>
    <w:rsid w:val="004F390E"/>
    <w:rsid w:val="004F3910"/>
    <w:rsid w:val="004F3E67"/>
    <w:rsid w:val="004F3F32"/>
    <w:rsid w:val="004F4C33"/>
    <w:rsid w:val="004F4EF2"/>
    <w:rsid w:val="004F5665"/>
    <w:rsid w:val="004F5721"/>
    <w:rsid w:val="004F57CE"/>
    <w:rsid w:val="004F5AF8"/>
    <w:rsid w:val="004F640E"/>
    <w:rsid w:val="004F707D"/>
    <w:rsid w:val="004F7184"/>
    <w:rsid w:val="004F78EC"/>
    <w:rsid w:val="005001F0"/>
    <w:rsid w:val="0050037B"/>
    <w:rsid w:val="005005FC"/>
    <w:rsid w:val="00500946"/>
    <w:rsid w:val="00501737"/>
    <w:rsid w:val="005018E1"/>
    <w:rsid w:val="00501EDF"/>
    <w:rsid w:val="00502115"/>
    <w:rsid w:val="00502292"/>
    <w:rsid w:val="00502C98"/>
    <w:rsid w:val="00503090"/>
    <w:rsid w:val="00503953"/>
    <w:rsid w:val="0050436A"/>
    <w:rsid w:val="00504471"/>
    <w:rsid w:val="00504675"/>
    <w:rsid w:val="00504BF7"/>
    <w:rsid w:val="00506401"/>
    <w:rsid w:val="005074FB"/>
    <w:rsid w:val="005100B0"/>
    <w:rsid w:val="00510361"/>
    <w:rsid w:val="00510424"/>
    <w:rsid w:val="00510EFD"/>
    <w:rsid w:val="00511292"/>
    <w:rsid w:val="00511730"/>
    <w:rsid w:val="0051176C"/>
    <w:rsid w:val="00511884"/>
    <w:rsid w:val="00511E48"/>
    <w:rsid w:val="00512099"/>
    <w:rsid w:val="00512C58"/>
    <w:rsid w:val="00512D5D"/>
    <w:rsid w:val="00512F5B"/>
    <w:rsid w:val="00513778"/>
    <w:rsid w:val="00513DAB"/>
    <w:rsid w:val="00514A65"/>
    <w:rsid w:val="00514A6A"/>
    <w:rsid w:val="00514BDF"/>
    <w:rsid w:val="0051549A"/>
    <w:rsid w:val="005156C3"/>
    <w:rsid w:val="0051591C"/>
    <w:rsid w:val="00515E9E"/>
    <w:rsid w:val="0051615C"/>
    <w:rsid w:val="0051621B"/>
    <w:rsid w:val="005167F6"/>
    <w:rsid w:val="00517A08"/>
    <w:rsid w:val="00517A93"/>
    <w:rsid w:val="00517A9F"/>
    <w:rsid w:val="00517E51"/>
    <w:rsid w:val="00517FE8"/>
    <w:rsid w:val="00520BF8"/>
    <w:rsid w:val="00520D34"/>
    <w:rsid w:val="00520EF6"/>
    <w:rsid w:val="0052151E"/>
    <w:rsid w:val="00521A13"/>
    <w:rsid w:val="005228D4"/>
    <w:rsid w:val="00523257"/>
    <w:rsid w:val="00523957"/>
    <w:rsid w:val="00523CEE"/>
    <w:rsid w:val="00523DF4"/>
    <w:rsid w:val="00524B9C"/>
    <w:rsid w:val="00524C52"/>
    <w:rsid w:val="00524CE3"/>
    <w:rsid w:val="005258A6"/>
    <w:rsid w:val="005258B6"/>
    <w:rsid w:val="00525AAE"/>
    <w:rsid w:val="0052614B"/>
    <w:rsid w:val="0052638F"/>
    <w:rsid w:val="005263F7"/>
    <w:rsid w:val="00526A4A"/>
    <w:rsid w:val="00526AAA"/>
    <w:rsid w:val="00530FC2"/>
    <w:rsid w:val="0053129A"/>
    <w:rsid w:val="005312BE"/>
    <w:rsid w:val="00531ECC"/>
    <w:rsid w:val="0053260A"/>
    <w:rsid w:val="00532684"/>
    <w:rsid w:val="005326C7"/>
    <w:rsid w:val="005326F5"/>
    <w:rsid w:val="005339F3"/>
    <w:rsid w:val="00534179"/>
    <w:rsid w:val="00534674"/>
    <w:rsid w:val="005348CC"/>
    <w:rsid w:val="00534D6C"/>
    <w:rsid w:val="005355FD"/>
    <w:rsid w:val="00535A3F"/>
    <w:rsid w:val="005366BB"/>
    <w:rsid w:val="00536DAD"/>
    <w:rsid w:val="00537262"/>
    <w:rsid w:val="0053733E"/>
    <w:rsid w:val="005374FF"/>
    <w:rsid w:val="005378B7"/>
    <w:rsid w:val="00537E30"/>
    <w:rsid w:val="0054023A"/>
    <w:rsid w:val="005404E4"/>
    <w:rsid w:val="00540BB5"/>
    <w:rsid w:val="0054159D"/>
    <w:rsid w:val="00542212"/>
    <w:rsid w:val="00542586"/>
    <w:rsid w:val="0054324E"/>
    <w:rsid w:val="00544BF9"/>
    <w:rsid w:val="00544D8F"/>
    <w:rsid w:val="00544EC6"/>
    <w:rsid w:val="005454B1"/>
    <w:rsid w:val="00546162"/>
    <w:rsid w:val="00546CC0"/>
    <w:rsid w:val="00546F33"/>
    <w:rsid w:val="00546F85"/>
    <w:rsid w:val="005470C2"/>
    <w:rsid w:val="0054757C"/>
    <w:rsid w:val="0054768D"/>
    <w:rsid w:val="00550CA4"/>
    <w:rsid w:val="00550E1A"/>
    <w:rsid w:val="00551404"/>
    <w:rsid w:val="00553481"/>
    <w:rsid w:val="0055441F"/>
    <w:rsid w:val="00554632"/>
    <w:rsid w:val="0055593F"/>
    <w:rsid w:val="0055597E"/>
    <w:rsid w:val="005559B3"/>
    <w:rsid w:val="005562B9"/>
    <w:rsid w:val="00560684"/>
    <w:rsid w:val="005607D4"/>
    <w:rsid w:val="00560A72"/>
    <w:rsid w:val="00560B76"/>
    <w:rsid w:val="00560C7A"/>
    <w:rsid w:val="00560F66"/>
    <w:rsid w:val="00563078"/>
    <w:rsid w:val="005635EA"/>
    <w:rsid w:val="00563AD7"/>
    <w:rsid w:val="00563C11"/>
    <w:rsid w:val="005640A0"/>
    <w:rsid w:val="00564A33"/>
    <w:rsid w:val="00564E17"/>
    <w:rsid w:val="00565286"/>
    <w:rsid w:val="00565672"/>
    <w:rsid w:val="00565947"/>
    <w:rsid w:val="00566131"/>
    <w:rsid w:val="005661D5"/>
    <w:rsid w:val="005663A0"/>
    <w:rsid w:val="005664C9"/>
    <w:rsid w:val="00566A23"/>
    <w:rsid w:val="00566C6E"/>
    <w:rsid w:val="00570487"/>
    <w:rsid w:val="00570C04"/>
    <w:rsid w:val="00572249"/>
    <w:rsid w:val="005722BB"/>
    <w:rsid w:val="00572962"/>
    <w:rsid w:val="00572C4A"/>
    <w:rsid w:val="00573773"/>
    <w:rsid w:val="00573E13"/>
    <w:rsid w:val="00574378"/>
    <w:rsid w:val="00575C59"/>
    <w:rsid w:val="00575D10"/>
    <w:rsid w:val="005774F6"/>
    <w:rsid w:val="00577535"/>
    <w:rsid w:val="005776A1"/>
    <w:rsid w:val="00577CFC"/>
    <w:rsid w:val="005809F9"/>
    <w:rsid w:val="00581199"/>
    <w:rsid w:val="00581283"/>
    <w:rsid w:val="00582134"/>
    <w:rsid w:val="00582167"/>
    <w:rsid w:val="005822E3"/>
    <w:rsid w:val="005829F3"/>
    <w:rsid w:val="00582D3E"/>
    <w:rsid w:val="005834FF"/>
    <w:rsid w:val="0058378E"/>
    <w:rsid w:val="00583887"/>
    <w:rsid w:val="00583919"/>
    <w:rsid w:val="005840B7"/>
    <w:rsid w:val="005846FB"/>
    <w:rsid w:val="00584AA1"/>
    <w:rsid w:val="005851A4"/>
    <w:rsid w:val="00585302"/>
    <w:rsid w:val="005853E3"/>
    <w:rsid w:val="00585BB6"/>
    <w:rsid w:val="0058605C"/>
    <w:rsid w:val="005860C4"/>
    <w:rsid w:val="00586E8A"/>
    <w:rsid w:val="005903DC"/>
    <w:rsid w:val="00590560"/>
    <w:rsid w:val="00590A9B"/>
    <w:rsid w:val="00591186"/>
    <w:rsid w:val="00592D61"/>
    <w:rsid w:val="00593132"/>
    <w:rsid w:val="0059347E"/>
    <w:rsid w:val="00594713"/>
    <w:rsid w:val="00594ECA"/>
    <w:rsid w:val="0059525F"/>
    <w:rsid w:val="00595838"/>
    <w:rsid w:val="00595892"/>
    <w:rsid w:val="00595C97"/>
    <w:rsid w:val="0059625E"/>
    <w:rsid w:val="00596361"/>
    <w:rsid w:val="00597F10"/>
    <w:rsid w:val="005A0CFB"/>
    <w:rsid w:val="005A0E83"/>
    <w:rsid w:val="005A2026"/>
    <w:rsid w:val="005A3798"/>
    <w:rsid w:val="005A3B6F"/>
    <w:rsid w:val="005A3BB3"/>
    <w:rsid w:val="005A3C14"/>
    <w:rsid w:val="005A3CB5"/>
    <w:rsid w:val="005A451A"/>
    <w:rsid w:val="005A457C"/>
    <w:rsid w:val="005A4A0D"/>
    <w:rsid w:val="005A5471"/>
    <w:rsid w:val="005A59DB"/>
    <w:rsid w:val="005A62A1"/>
    <w:rsid w:val="005A6AD8"/>
    <w:rsid w:val="005A6F2F"/>
    <w:rsid w:val="005A72F5"/>
    <w:rsid w:val="005A73C1"/>
    <w:rsid w:val="005A7616"/>
    <w:rsid w:val="005AB5CC"/>
    <w:rsid w:val="005B0056"/>
    <w:rsid w:val="005B02BC"/>
    <w:rsid w:val="005B03EB"/>
    <w:rsid w:val="005B0B87"/>
    <w:rsid w:val="005B0DB5"/>
    <w:rsid w:val="005B1C53"/>
    <w:rsid w:val="005B1F94"/>
    <w:rsid w:val="005B2055"/>
    <w:rsid w:val="005B259F"/>
    <w:rsid w:val="005B2C21"/>
    <w:rsid w:val="005B2D5C"/>
    <w:rsid w:val="005B31D3"/>
    <w:rsid w:val="005B3B27"/>
    <w:rsid w:val="005B414D"/>
    <w:rsid w:val="005B50AE"/>
    <w:rsid w:val="005B56FC"/>
    <w:rsid w:val="005B59A1"/>
    <w:rsid w:val="005B5FCC"/>
    <w:rsid w:val="005B62B1"/>
    <w:rsid w:val="005B65B1"/>
    <w:rsid w:val="005B6A67"/>
    <w:rsid w:val="005B6CD6"/>
    <w:rsid w:val="005B740F"/>
    <w:rsid w:val="005B79B7"/>
    <w:rsid w:val="005B7CE7"/>
    <w:rsid w:val="005C039F"/>
    <w:rsid w:val="005C0B7C"/>
    <w:rsid w:val="005C1495"/>
    <w:rsid w:val="005C161D"/>
    <w:rsid w:val="005C198D"/>
    <w:rsid w:val="005C2ED9"/>
    <w:rsid w:val="005C3B11"/>
    <w:rsid w:val="005C5254"/>
    <w:rsid w:val="005C526E"/>
    <w:rsid w:val="005C56C9"/>
    <w:rsid w:val="005C5A6B"/>
    <w:rsid w:val="005C5E8B"/>
    <w:rsid w:val="005C5F68"/>
    <w:rsid w:val="005C6300"/>
    <w:rsid w:val="005C73B3"/>
    <w:rsid w:val="005C7B21"/>
    <w:rsid w:val="005C7DC7"/>
    <w:rsid w:val="005D011F"/>
    <w:rsid w:val="005D013D"/>
    <w:rsid w:val="005D150E"/>
    <w:rsid w:val="005D1A8D"/>
    <w:rsid w:val="005D1B63"/>
    <w:rsid w:val="005D1F17"/>
    <w:rsid w:val="005D21A0"/>
    <w:rsid w:val="005D38EF"/>
    <w:rsid w:val="005D549F"/>
    <w:rsid w:val="005D5DF3"/>
    <w:rsid w:val="005D5E6B"/>
    <w:rsid w:val="005D7B1F"/>
    <w:rsid w:val="005E082A"/>
    <w:rsid w:val="005E0E69"/>
    <w:rsid w:val="005E1606"/>
    <w:rsid w:val="005E32EE"/>
    <w:rsid w:val="005E3980"/>
    <w:rsid w:val="005E3C36"/>
    <w:rsid w:val="005E4F8C"/>
    <w:rsid w:val="005E4FE6"/>
    <w:rsid w:val="005E51C8"/>
    <w:rsid w:val="005E5AF7"/>
    <w:rsid w:val="005E678C"/>
    <w:rsid w:val="005E6A90"/>
    <w:rsid w:val="005E76FA"/>
    <w:rsid w:val="005F05EF"/>
    <w:rsid w:val="005F1B13"/>
    <w:rsid w:val="005F1DA7"/>
    <w:rsid w:val="005F1E8B"/>
    <w:rsid w:val="005F1F15"/>
    <w:rsid w:val="005F2130"/>
    <w:rsid w:val="005F21F7"/>
    <w:rsid w:val="005F248A"/>
    <w:rsid w:val="005F2CCB"/>
    <w:rsid w:val="005F344A"/>
    <w:rsid w:val="005F35B9"/>
    <w:rsid w:val="005F375F"/>
    <w:rsid w:val="005F3974"/>
    <w:rsid w:val="005F3CD4"/>
    <w:rsid w:val="005F4E3D"/>
    <w:rsid w:val="005F5B01"/>
    <w:rsid w:val="005F5FBD"/>
    <w:rsid w:val="005F5FD9"/>
    <w:rsid w:val="005F6191"/>
    <w:rsid w:val="00601441"/>
    <w:rsid w:val="00601651"/>
    <w:rsid w:val="006020CF"/>
    <w:rsid w:val="00602767"/>
    <w:rsid w:val="006046B8"/>
    <w:rsid w:val="00604899"/>
    <w:rsid w:val="006048CB"/>
    <w:rsid w:val="00604E46"/>
    <w:rsid w:val="0060531D"/>
    <w:rsid w:val="0060541A"/>
    <w:rsid w:val="006058CB"/>
    <w:rsid w:val="00605B6F"/>
    <w:rsid w:val="00606149"/>
    <w:rsid w:val="006075C5"/>
    <w:rsid w:val="00610E7D"/>
    <w:rsid w:val="00611103"/>
    <w:rsid w:val="0061139D"/>
    <w:rsid w:val="006114B5"/>
    <w:rsid w:val="00611F8A"/>
    <w:rsid w:val="00612375"/>
    <w:rsid w:val="006124F7"/>
    <w:rsid w:val="00612B53"/>
    <w:rsid w:val="00613209"/>
    <w:rsid w:val="00613C01"/>
    <w:rsid w:val="00613FF6"/>
    <w:rsid w:val="00615650"/>
    <w:rsid w:val="006158EB"/>
    <w:rsid w:val="00615D00"/>
    <w:rsid w:val="00615F20"/>
    <w:rsid w:val="00615F29"/>
    <w:rsid w:val="0061739E"/>
    <w:rsid w:val="006175AF"/>
    <w:rsid w:val="0062087C"/>
    <w:rsid w:val="00620B95"/>
    <w:rsid w:val="00620BE1"/>
    <w:rsid w:val="00620C94"/>
    <w:rsid w:val="00621AAF"/>
    <w:rsid w:val="00622817"/>
    <w:rsid w:val="00622B55"/>
    <w:rsid w:val="00623946"/>
    <w:rsid w:val="00623A50"/>
    <w:rsid w:val="00625FBE"/>
    <w:rsid w:val="00626450"/>
    <w:rsid w:val="00626C84"/>
    <w:rsid w:val="006277A7"/>
    <w:rsid w:val="00630787"/>
    <w:rsid w:val="00630FD8"/>
    <w:rsid w:val="0063125A"/>
    <w:rsid w:val="0063137A"/>
    <w:rsid w:val="00631CF2"/>
    <w:rsid w:val="00634066"/>
    <w:rsid w:val="006345E9"/>
    <w:rsid w:val="00634D51"/>
    <w:rsid w:val="0063547B"/>
    <w:rsid w:val="00636A6A"/>
    <w:rsid w:val="00636E82"/>
    <w:rsid w:val="00636F38"/>
    <w:rsid w:val="00636FBA"/>
    <w:rsid w:val="00637032"/>
    <w:rsid w:val="00637296"/>
    <w:rsid w:val="00640D79"/>
    <w:rsid w:val="0064122F"/>
    <w:rsid w:val="006425FB"/>
    <w:rsid w:val="00642921"/>
    <w:rsid w:val="0064332E"/>
    <w:rsid w:val="006438B2"/>
    <w:rsid w:val="00643966"/>
    <w:rsid w:val="006439C5"/>
    <w:rsid w:val="006446E4"/>
    <w:rsid w:val="00644756"/>
    <w:rsid w:val="006454B1"/>
    <w:rsid w:val="006459CA"/>
    <w:rsid w:val="00645B4C"/>
    <w:rsid w:val="006467C5"/>
    <w:rsid w:val="006467F1"/>
    <w:rsid w:val="0064773B"/>
    <w:rsid w:val="00650778"/>
    <w:rsid w:val="006519E6"/>
    <w:rsid w:val="00651EDD"/>
    <w:rsid w:val="00652069"/>
    <w:rsid w:val="00652925"/>
    <w:rsid w:val="00652A8D"/>
    <w:rsid w:val="006540BF"/>
    <w:rsid w:val="0065440F"/>
    <w:rsid w:val="00654470"/>
    <w:rsid w:val="00654A64"/>
    <w:rsid w:val="00655495"/>
    <w:rsid w:val="0065555E"/>
    <w:rsid w:val="00655567"/>
    <w:rsid w:val="006555B1"/>
    <w:rsid w:val="00655B21"/>
    <w:rsid w:val="00655C2F"/>
    <w:rsid w:val="0065671D"/>
    <w:rsid w:val="00656C17"/>
    <w:rsid w:val="00657148"/>
    <w:rsid w:val="00660108"/>
    <w:rsid w:val="00660689"/>
    <w:rsid w:val="00660DCE"/>
    <w:rsid w:val="00661145"/>
    <w:rsid w:val="00661C52"/>
    <w:rsid w:val="00661D00"/>
    <w:rsid w:val="00662220"/>
    <w:rsid w:val="00662E2A"/>
    <w:rsid w:val="00663500"/>
    <w:rsid w:val="006647EF"/>
    <w:rsid w:val="00664B38"/>
    <w:rsid w:val="00664C57"/>
    <w:rsid w:val="00664F3B"/>
    <w:rsid w:val="006656B9"/>
    <w:rsid w:val="00666037"/>
    <w:rsid w:val="00667270"/>
    <w:rsid w:val="00667651"/>
    <w:rsid w:val="006676EE"/>
    <w:rsid w:val="00670057"/>
    <w:rsid w:val="0067113F"/>
    <w:rsid w:val="0067126D"/>
    <w:rsid w:val="00671FE2"/>
    <w:rsid w:val="0067244C"/>
    <w:rsid w:val="00672DAC"/>
    <w:rsid w:val="006733C6"/>
    <w:rsid w:val="00673E86"/>
    <w:rsid w:val="006741F7"/>
    <w:rsid w:val="0067474A"/>
    <w:rsid w:val="006750E4"/>
    <w:rsid w:val="0067614D"/>
    <w:rsid w:val="006762D5"/>
    <w:rsid w:val="0067649E"/>
    <w:rsid w:val="006774C1"/>
    <w:rsid w:val="006779E8"/>
    <w:rsid w:val="00677CB8"/>
    <w:rsid w:val="00680308"/>
    <w:rsid w:val="00680D23"/>
    <w:rsid w:val="00681B4E"/>
    <w:rsid w:val="00681D04"/>
    <w:rsid w:val="006823D7"/>
    <w:rsid w:val="0068275B"/>
    <w:rsid w:val="00682D19"/>
    <w:rsid w:val="006834C7"/>
    <w:rsid w:val="00683589"/>
    <w:rsid w:val="00683CE3"/>
    <w:rsid w:val="006841B1"/>
    <w:rsid w:val="0068450A"/>
    <w:rsid w:val="00685475"/>
    <w:rsid w:val="006858B3"/>
    <w:rsid w:val="006858E9"/>
    <w:rsid w:val="00685D2A"/>
    <w:rsid w:val="006861B9"/>
    <w:rsid w:val="00686349"/>
    <w:rsid w:val="00686BA6"/>
    <w:rsid w:val="0068751F"/>
    <w:rsid w:val="00687DB9"/>
    <w:rsid w:val="00690477"/>
    <w:rsid w:val="0069050B"/>
    <w:rsid w:val="00690914"/>
    <w:rsid w:val="00690A93"/>
    <w:rsid w:val="00690C4A"/>
    <w:rsid w:val="00690D69"/>
    <w:rsid w:val="006934AA"/>
    <w:rsid w:val="00693D1D"/>
    <w:rsid w:val="00693D68"/>
    <w:rsid w:val="00694385"/>
    <w:rsid w:val="00695627"/>
    <w:rsid w:val="006A0173"/>
    <w:rsid w:val="006A2313"/>
    <w:rsid w:val="006A247A"/>
    <w:rsid w:val="006A2F7D"/>
    <w:rsid w:val="006A300E"/>
    <w:rsid w:val="006A3723"/>
    <w:rsid w:val="006A3A11"/>
    <w:rsid w:val="006A4589"/>
    <w:rsid w:val="006A45E5"/>
    <w:rsid w:val="006A47A5"/>
    <w:rsid w:val="006A47A6"/>
    <w:rsid w:val="006A64AE"/>
    <w:rsid w:val="006A657A"/>
    <w:rsid w:val="006A6A89"/>
    <w:rsid w:val="006A733F"/>
    <w:rsid w:val="006A7A00"/>
    <w:rsid w:val="006B012A"/>
    <w:rsid w:val="006B02A0"/>
    <w:rsid w:val="006B0CA7"/>
    <w:rsid w:val="006B0F3F"/>
    <w:rsid w:val="006B1298"/>
    <w:rsid w:val="006B1384"/>
    <w:rsid w:val="006B276A"/>
    <w:rsid w:val="006B307A"/>
    <w:rsid w:val="006B494E"/>
    <w:rsid w:val="006B4977"/>
    <w:rsid w:val="006B49B5"/>
    <w:rsid w:val="006B49F7"/>
    <w:rsid w:val="006B4D4E"/>
    <w:rsid w:val="006B545C"/>
    <w:rsid w:val="006B56AE"/>
    <w:rsid w:val="006B6126"/>
    <w:rsid w:val="006B620C"/>
    <w:rsid w:val="006B662C"/>
    <w:rsid w:val="006B6A81"/>
    <w:rsid w:val="006B740E"/>
    <w:rsid w:val="006C26CD"/>
    <w:rsid w:val="006C2DB0"/>
    <w:rsid w:val="006C3284"/>
    <w:rsid w:val="006C3A18"/>
    <w:rsid w:val="006C3C30"/>
    <w:rsid w:val="006C3E98"/>
    <w:rsid w:val="006C4D1A"/>
    <w:rsid w:val="006C4E22"/>
    <w:rsid w:val="006C56EC"/>
    <w:rsid w:val="006C61D2"/>
    <w:rsid w:val="006C6EAE"/>
    <w:rsid w:val="006D10D2"/>
    <w:rsid w:val="006D1963"/>
    <w:rsid w:val="006D1D68"/>
    <w:rsid w:val="006D47F7"/>
    <w:rsid w:val="006D495F"/>
    <w:rsid w:val="006D4C46"/>
    <w:rsid w:val="006D545B"/>
    <w:rsid w:val="006D6492"/>
    <w:rsid w:val="006D6877"/>
    <w:rsid w:val="006D69C9"/>
    <w:rsid w:val="006D6BBC"/>
    <w:rsid w:val="006D6D3F"/>
    <w:rsid w:val="006E039B"/>
    <w:rsid w:val="006E1234"/>
    <w:rsid w:val="006E1538"/>
    <w:rsid w:val="006E1852"/>
    <w:rsid w:val="006E1AD7"/>
    <w:rsid w:val="006E21D8"/>
    <w:rsid w:val="006E241C"/>
    <w:rsid w:val="006E5016"/>
    <w:rsid w:val="006E56A8"/>
    <w:rsid w:val="006E7385"/>
    <w:rsid w:val="006E7593"/>
    <w:rsid w:val="006F022C"/>
    <w:rsid w:val="006F0414"/>
    <w:rsid w:val="006F0F48"/>
    <w:rsid w:val="006F1097"/>
    <w:rsid w:val="006F1277"/>
    <w:rsid w:val="006F1789"/>
    <w:rsid w:val="006F1991"/>
    <w:rsid w:val="006F1E24"/>
    <w:rsid w:val="006F26AA"/>
    <w:rsid w:val="006F2B1B"/>
    <w:rsid w:val="006F3157"/>
    <w:rsid w:val="006F3950"/>
    <w:rsid w:val="006F3D7F"/>
    <w:rsid w:val="006F40D0"/>
    <w:rsid w:val="006F5C07"/>
    <w:rsid w:val="006F6068"/>
    <w:rsid w:val="006F6E47"/>
    <w:rsid w:val="006F6FD3"/>
    <w:rsid w:val="006F73D2"/>
    <w:rsid w:val="006F76A2"/>
    <w:rsid w:val="006F7A28"/>
    <w:rsid w:val="007000C8"/>
    <w:rsid w:val="00700330"/>
    <w:rsid w:val="007005DD"/>
    <w:rsid w:val="00700925"/>
    <w:rsid w:val="00700C81"/>
    <w:rsid w:val="007010EF"/>
    <w:rsid w:val="00701862"/>
    <w:rsid w:val="00701D9F"/>
    <w:rsid w:val="00701E27"/>
    <w:rsid w:val="00703582"/>
    <w:rsid w:val="00703665"/>
    <w:rsid w:val="0070381B"/>
    <w:rsid w:val="00703F69"/>
    <w:rsid w:val="00704A21"/>
    <w:rsid w:val="00704ABC"/>
    <w:rsid w:val="00704ABE"/>
    <w:rsid w:val="0070531A"/>
    <w:rsid w:val="0070567B"/>
    <w:rsid w:val="00705922"/>
    <w:rsid w:val="00705AEC"/>
    <w:rsid w:val="00705FB5"/>
    <w:rsid w:val="0070611D"/>
    <w:rsid w:val="007066A2"/>
    <w:rsid w:val="00710765"/>
    <w:rsid w:val="0071079F"/>
    <w:rsid w:val="007107EE"/>
    <w:rsid w:val="00711000"/>
    <w:rsid w:val="007118BB"/>
    <w:rsid w:val="007119A3"/>
    <w:rsid w:val="00712139"/>
    <w:rsid w:val="007122DB"/>
    <w:rsid w:val="00712953"/>
    <w:rsid w:val="00712E37"/>
    <w:rsid w:val="00713B90"/>
    <w:rsid w:val="00715408"/>
    <w:rsid w:val="00715817"/>
    <w:rsid w:val="00716DC0"/>
    <w:rsid w:val="007170AE"/>
    <w:rsid w:val="00717A4A"/>
    <w:rsid w:val="00717F85"/>
    <w:rsid w:val="007206C0"/>
    <w:rsid w:val="00720BE9"/>
    <w:rsid w:val="00720FCD"/>
    <w:rsid w:val="0072138D"/>
    <w:rsid w:val="00721EA7"/>
    <w:rsid w:val="00722111"/>
    <w:rsid w:val="0072326F"/>
    <w:rsid w:val="0072383E"/>
    <w:rsid w:val="0072388D"/>
    <w:rsid w:val="00724248"/>
    <w:rsid w:val="00726862"/>
    <w:rsid w:val="00727194"/>
    <w:rsid w:val="00727C8B"/>
    <w:rsid w:val="00730229"/>
    <w:rsid w:val="00730707"/>
    <w:rsid w:val="00730C96"/>
    <w:rsid w:val="00731292"/>
    <w:rsid w:val="00731536"/>
    <w:rsid w:val="00731996"/>
    <w:rsid w:val="00731A68"/>
    <w:rsid w:val="00731B90"/>
    <w:rsid w:val="00732C45"/>
    <w:rsid w:val="00734257"/>
    <w:rsid w:val="007349A8"/>
    <w:rsid w:val="00735517"/>
    <w:rsid w:val="007356D6"/>
    <w:rsid w:val="00735ACD"/>
    <w:rsid w:val="007363AF"/>
    <w:rsid w:val="007363B5"/>
    <w:rsid w:val="00736817"/>
    <w:rsid w:val="00736BF5"/>
    <w:rsid w:val="007370CC"/>
    <w:rsid w:val="00737308"/>
    <w:rsid w:val="00737A87"/>
    <w:rsid w:val="00737EB3"/>
    <w:rsid w:val="007404F6"/>
    <w:rsid w:val="00741454"/>
    <w:rsid w:val="007419C9"/>
    <w:rsid w:val="00741D3C"/>
    <w:rsid w:val="00743AF4"/>
    <w:rsid w:val="00743FDC"/>
    <w:rsid w:val="007444DC"/>
    <w:rsid w:val="00744876"/>
    <w:rsid w:val="00745280"/>
    <w:rsid w:val="00745B7D"/>
    <w:rsid w:val="00745F9E"/>
    <w:rsid w:val="0074723D"/>
    <w:rsid w:val="0074747A"/>
    <w:rsid w:val="0075016E"/>
    <w:rsid w:val="007507AF"/>
    <w:rsid w:val="00750836"/>
    <w:rsid w:val="0075283D"/>
    <w:rsid w:val="00753B71"/>
    <w:rsid w:val="00753B97"/>
    <w:rsid w:val="007542C8"/>
    <w:rsid w:val="00754661"/>
    <w:rsid w:val="0075487F"/>
    <w:rsid w:val="007553F6"/>
    <w:rsid w:val="00755860"/>
    <w:rsid w:val="00755D1E"/>
    <w:rsid w:val="00756F47"/>
    <w:rsid w:val="007578F0"/>
    <w:rsid w:val="0075796A"/>
    <w:rsid w:val="00757AFA"/>
    <w:rsid w:val="0076025B"/>
    <w:rsid w:val="00760CF3"/>
    <w:rsid w:val="00761062"/>
    <w:rsid w:val="0076166F"/>
    <w:rsid w:val="00762114"/>
    <w:rsid w:val="00762163"/>
    <w:rsid w:val="00762204"/>
    <w:rsid w:val="00762F9C"/>
    <w:rsid w:val="00763B40"/>
    <w:rsid w:val="00764BAF"/>
    <w:rsid w:val="007657E6"/>
    <w:rsid w:val="00765FFC"/>
    <w:rsid w:val="00766107"/>
    <w:rsid w:val="007662C2"/>
    <w:rsid w:val="0076660E"/>
    <w:rsid w:val="00767322"/>
    <w:rsid w:val="0076775F"/>
    <w:rsid w:val="00767C0E"/>
    <w:rsid w:val="00767CC7"/>
    <w:rsid w:val="00771537"/>
    <w:rsid w:val="007719A9"/>
    <w:rsid w:val="007721EF"/>
    <w:rsid w:val="007734B1"/>
    <w:rsid w:val="00774335"/>
    <w:rsid w:val="007743A0"/>
    <w:rsid w:val="007748AF"/>
    <w:rsid w:val="00774D50"/>
    <w:rsid w:val="00775E23"/>
    <w:rsid w:val="00775E8B"/>
    <w:rsid w:val="0078004E"/>
    <w:rsid w:val="0078013B"/>
    <w:rsid w:val="007801A0"/>
    <w:rsid w:val="00781599"/>
    <w:rsid w:val="007818D5"/>
    <w:rsid w:val="00781D6E"/>
    <w:rsid w:val="00782848"/>
    <w:rsid w:val="00783011"/>
    <w:rsid w:val="00783062"/>
    <w:rsid w:val="00783252"/>
    <w:rsid w:val="007849A0"/>
    <w:rsid w:val="007856FB"/>
    <w:rsid w:val="007864F7"/>
    <w:rsid w:val="0078654E"/>
    <w:rsid w:val="0078692C"/>
    <w:rsid w:val="007870AC"/>
    <w:rsid w:val="00787ECF"/>
    <w:rsid w:val="0079075B"/>
    <w:rsid w:val="00790CD0"/>
    <w:rsid w:val="0079167B"/>
    <w:rsid w:val="00791EAB"/>
    <w:rsid w:val="00791EB4"/>
    <w:rsid w:val="00792233"/>
    <w:rsid w:val="00793387"/>
    <w:rsid w:val="007953D3"/>
    <w:rsid w:val="00795BEB"/>
    <w:rsid w:val="00796060"/>
    <w:rsid w:val="007969B6"/>
    <w:rsid w:val="00797342"/>
    <w:rsid w:val="007A071F"/>
    <w:rsid w:val="007A0ACD"/>
    <w:rsid w:val="007A1503"/>
    <w:rsid w:val="007A1DA8"/>
    <w:rsid w:val="007A3722"/>
    <w:rsid w:val="007A3B56"/>
    <w:rsid w:val="007A3FBA"/>
    <w:rsid w:val="007A4122"/>
    <w:rsid w:val="007A425C"/>
    <w:rsid w:val="007A5C43"/>
    <w:rsid w:val="007A7B84"/>
    <w:rsid w:val="007A7BDA"/>
    <w:rsid w:val="007A7D67"/>
    <w:rsid w:val="007B01D9"/>
    <w:rsid w:val="007B0647"/>
    <w:rsid w:val="007B16B8"/>
    <w:rsid w:val="007B1935"/>
    <w:rsid w:val="007B1C41"/>
    <w:rsid w:val="007B1F73"/>
    <w:rsid w:val="007B2063"/>
    <w:rsid w:val="007B28B3"/>
    <w:rsid w:val="007B45EA"/>
    <w:rsid w:val="007B4F1D"/>
    <w:rsid w:val="007B5B0B"/>
    <w:rsid w:val="007B65CE"/>
    <w:rsid w:val="007B65F9"/>
    <w:rsid w:val="007B66E8"/>
    <w:rsid w:val="007B6812"/>
    <w:rsid w:val="007B6989"/>
    <w:rsid w:val="007B7502"/>
    <w:rsid w:val="007B781F"/>
    <w:rsid w:val="007B7838"/>
    <w:rsid w:val="007B79D0"/>
    <w:rsid w:val="007B7E09"/>
    <w:rsid w:val="007C007D"/>
    <w:rsid w:val="007C0162"/>
    <w:rsid w:val="007C17A9"/>
    <w:rsid w:val="007C193F"/>
    <w:rsid w:val="007C233B"/>
    <w:rsid w:val="007C2770"/>
    <w:rsid w:val="007C28CB"/>
    <w:rsid w:val="007C2999"/>
    <w:rsid w:val="007C2CB9"/>
    <w:rsid w:val="007C2D62"/>
    <w:rsid w:val="007C458F"/>
    <w:rsid w:val="007C4868"/>
    <w:rsid w:val="007C4C87"/>
    <w:rsid w:val="007C4EC5"/>
    <w:rsid w:val="007C5679"/>
    <w:rsid w:val="007C5B79"/>
    <w:rsid w:val="007C5EF3"/>
    <w:rsid w:val="007C6272"/>
    <w:rsid w:val="007C62C0"/>
    <w:rsid w:val="007C6CC3"/>
    <w:rsid w:val="007C78C2"/>
    <w:rsid w:val="007C7FFB"/>
    <w:rsid w:val="007D02E4"/>
    <w:rsid w:val="007D0D07"/>
    <w:rsid w:val="007D115F"/>
    <w:rsid w:val="007D2EE3"/>
    <w:rsid w:val="007D30F7"/>
    <w:rsid w:val="007D3B3D"/>
    <w:rsid w:val="007D5587"/>
    <w:rsid w:val="007D593E"/>
    <w:rsid w:val="007D5BA3"/>
    <w:rsid w:val="007D6688"/>
    <w:rsid w:val="007D6E40"/>
    <w:rsid w:val="007D71E7"/>
    <w:rsid w:val="007D78DD"/>
    <w:rsid w:val="007D7BB4"/>
    <w:rsid w:val="007E0250"/>
    <w:rsid w:val="007E1730"/>
    <w:rsid w:val="007E177F"/>
    <w:rsid w:val="007E1F49"/>
    <w:rsid w:val="007E2933"/>
    <w:rsid w:val="007E3733"/>
    <w:rsid w:val="007E39A5"/>
    <w:rsid w:val="007E4EAC"/>
    <w:rsid w:val="007E51DA"/>
    <w:rsid w:val="007E5A90"/>
    <w:rsid w:val="007E5F89"/>
    <w:rsid w:val="007E607C"/>
    <w:rsid w:val="007E62FD"/>
    <w:rsid w:val="007E63D8"/>
    <w:rsid w:val="007E7108"/>
    <w:rsid w:val="007E73A0"/>
    <w:rsid w:val="007E7D07"/>
    <w:rsid w:val="007F113D"/>
    <w:rsid w:val="007F1C57"/>
    <w:rsid w:val="007F1C69"/>
    <w:rsid w:val="007F1E41"/>
    <w:rsid w:val="007F22A6"/>
    <w:rsid w:val="007F2600"/>
    <w:rsid w:val="007F3104"/>
    <w:rsid w:val="007F396F"/>
    <w:rsid w:val="007F57D6"/>
    <w:rsid w:val="007F5869"/>
    <w:rsid w:val="007F5AE5"/>
    <w:rsid w:val="007F65FA"/>
    <w:rsid w:val="007F6783"/>
    <w:rsid w:val="007F6C8C"/>
    <w:rsid w:val="007F7364"/>
    <w:rsid w:val="007F7B64"/>
    <w:rsid w:val="00800A15"/>
    <w:rsid w:val="00801D88"/>
    <w:rsid w:val="008022ED"/>
    <w:rsid w:val="00802574"/>
    <w:rsid w:val="008025D3"/>
    <w:rsid w:val="00802D22"/>
    <w:rsid w:val="00803A90"/>
    <w:rsid w:val="00803AC5"/>
    <w:rsid w:val="008049B2"/>
    <w:rsid w:val="00804B9B"/>
    <w:rsid w:val="008053AF"/>
    <w:rsid w:val="00805B17"/>
    <w:rsid w:val="00806801"/>
    <w:rsid w:val="00806DFD"/>
    <w:rsid w:val="00807383"/>
    <w:rsid w:val="00807DB4"/>
    <w:rsid w:val="00810538"/>
    <w:rsid w:val="00810837"/>
    <w:rsid w:val="00810859"/>
    <w:rsid w:val="008109F6"/>
    <w:rsid w:val="00810DD1"/>
    <w:rsid w:val="00810E91"/>
    <w:rsid w:val="008122AA"/>
    <w:rsid w:val="008137E7"/>
    <w:rsid w:val="00813848"/>
    <w:rsid w:val="008141F2"/>
    <w:rsid w:val="008142DF"/>
    <w:rsid w:val="0081503A"/>
    <w:rsid w:val="00815162"/>
    <w:rsid w:val="00815C64"/>
    <w:rsid w:val="00815C94"/>
    <w:rsid w:val="00815DF2"/>
    <w:rsid w:val="008160A6"/>
    <w:rsid w:val="008167D8"/>
    <w:rsid w:val="008169F7"/>
    <w:rsid w:val="00816BFC"/>
    <w:rsid w:val="00816FA7"/>
    <w:rsid w:val="0081714C"/>
    <w:rsid w:val="008174C2"/>
    <w:rsid w:val="00820B62"/>
    <w:rsid w:val="00820F6B"/>
    <w:rsid w:val="00821AFE"/>
    <w:rsid w:val="008220A6"/>
    <w:rsid w:val="00822445"/>
    <w:rsid w:val="0082322F"/>
    <w:rsid w:val="008237F3"/>
    <w:rsid w:val="00823836"/>
    <w:rsid w:val="00823EAA"/>
    <w:rsid w:val="008245A3"/>
    <w:rsid w:val="00824EE4"/>
    <w:rsid w:val="00825835"/>
    <w:rsid w:val="0082611D"/>
    <w:rsid w:val="00826BF3"/>
    <w:rsid w:val="00827B6D"/>
    <w:rsid w:val="00827B86"/>
    <w:rsid w:val="00827C90"/>
    <w:rsid w:val="008301D7"/>
    <w:rsid w:val="00830361"/>
    <w:rsid w:val="00830AA6"/>
    <w:rsid w:val="00830CF4"/>
    <w:rsid w:val="0083137D"/>
    <w:rsid w:val="00831D3C"/>
    <w:rsid w:val="00832EA3"/>
    <w:rsid w:val="0083302B"/>
    <w:rsid w:val="008333F3"/>
    <w:rsid w:val="00833ABE"/>
    <w:rsid w:val="00833CD8"/>
    <w:rsid w:val="00833FA6"/>
    <w:rsid w:val="00834AAE"/>
    <w:rsid w:val="00835965"/>
    <w:rsid w:val="00835B7C"/>
    <w:rsid w:val="0083618B"/>
    <w:rsid w:val="00836D6A"/>
    <w:rsid w:val="00837599"/>
    <w:rsid w:val="00837FE7"/>
    <w:rsid w:val="0084102D"/>
    <w:rsid w:val="00841D06"/>
    <w:rsid w:val="008420D5"/>
    <w:rsid w:val="00842E67"/>
    <w:rsid w:val="00842FA2"/>
    <w:rsid w:val="00843496"/>
    <w:rsid w:val="0084507B"/>
    <w:rsid w:val="00845333"/>
    <w:rsid w:val="00845C96"/>
    <w:rsid w:val="008461B2"/>
    <w:rsid w:val="00846600"/>
    <w:rsid w:val="00846978"/>
    <w:rsid w:val="00847B72"/>
    <w:rsid w:val="00850436"/>
    <w:rsid w:val="008505E2"/>
    <w:rsid w:val="00850A22"/>
    <w:rsid w:val="00851ABC"/>
    <w:rsid w:val="00851B64"/>
    <w:rsid w:val="00852274"/>
    <w:rsid w:val="00852E91"/>
    <w:rsid w:val="00852FE5"/>
    <w:rsid w:val="00854498"/>
    <w:rsid w:val="008553FB"/>
    <w:rsid w:val="00856479"/>
    <w:rsid w:val="0085744F"/>
    <w:rsid w:val="00857548"/>
    <w:rsid w:val="00860510"/>
    <w:rsid w:val="0086068B"/>
    <w:rsid w:val="008609DC"/>
    <w:rsid w:val="00860AD2"/>
    <w:rsid w:val="00861150"/>
    <w:rsid w:val="00861B27"/>
    <w:rsid w:val="00861CF7"/>
    <w:rsid w:val="00861D37"/>
    <w:rsid w:val="008620A7"/>
    <w:rsid w:val="00862A2E"/>
    <w:rsid w:val="00863B96"/>
    <w:rsid w:val="00863CD7"/>
    <w:rsid w:val="008644C2"/>
    <w:rsid w:val="0086459F"/>
    <w:rsid w:val="0086483A"/>
    <w:rsid w:val="00864889"/>
    <w:rsid w:val="008649B7"/>
    <w:rsid w:val="00864AB8"/>
    <w:rsid w:val="00866241"/>
    <w:rsid w:val="00866259"/>
    <w:rsid w:val="00866ED4"/>
    <w:rsid w:val="008670E8"/>
    <w:rsid w:val="0087052A"/>
    <w:rsid w:val="0087226C"/>
    <w:rsid w:val="008732BA"/>
    <w:rsid w:val="0087445C"/>
    <w:rsid w:val="00874836"/>
    <w:rsid w:val="00874AB7"/>
    <w:rsid w:val="00874ABD"/>
    <w:rsid w:val="00874BE4"/>
    <w:rsid w:val="008755DA"/>
    <w:rsid w:val="00875AA3"/>
    <w:rsid w:val="00875B60"/>
    <w:rsid w:val="008764EF"/>
    <w:rsid w:val="00876632"/>
    <w:rsid w:val="00876CAC"/>
    <w:rsid w:val="0087736F"/>
    <w:rsid w:val="0087745F"/>
    <w:rsid w:val="00877DF3"/>
    <w:rsid w:val="0088186E"/>
    <w:rsid w:val="00881900"/>
    <w:rsid w:val="00881B46"/>
    <w:rsid w:val="00882C15"/>
    <w:rsid w:val="00882C19"/>
    <w:rsid w:val="00883012"/>
    <w:rsid w:val="00883267"/>
    <w:rsid w:val="0088332D"/>
    <w:rsid w:val="008833CB"/>
    <w:rsid w:val="00883DEC"/>
    <w:rsid w:val="00884A6C"/>
    <w:rsid w:val="0088510B"/>
    <w:rsid w:val="00885610"/>
    <w:rsid w:val="00885B7B"/>
    <w:rsid w:val="00885BF1"/>
    <w:rsid w:val="00885DE9"/>
    <w:rsid w:val="00885FAD"/>
    <w:rsid w:val="0088627A"/>
    <w:rsid w:val="00887945"/>
    <w:rsid w:val="0089009A"/>
    <w:rsid w:val="008905B3"/>
    <w:rsid w:val="00890981"/>
    <w:rsid w:val="00890E7A"/>
    <w:rsid w:val="0089173E"/>
    <w:rsid w:val="00891773"/>
    <w:rsid w:val="008925FB"/>
    <w:rsid w:val="00892D60"/>
    <w:rsid w:val="008933D5"/>
    <w:rsid w:val="00893542"/>
    <w:rsid w:val="008939C3"/>
    <w:rsid w:val="00893E3E"/>
    <w:rsid w:val="00894104"/>
    <w:rsid w:val="008944E2"/>
    <w:rsid w:val="008949AB"/>
    <w:rsid w:val="00894D02"/>
    <w:rsid w:val="00894F8B"/>
    <w:rsid w:val="00894F90"/>
    <w:rsid w:val="008954E2"/>
    <w:rsid w:val="00895505"/>
    <w:rsid w:val="00895965"/>
    <w:rsid w:val="008966B0"/>
    <w:rsid w:val="00896C40"/>
    <w:rsid w:val="008971C8"/>
    <w:rsid w:val="00897349"/>
    <w:rsid w:val="0089738B"/>
    <w:rsid w:val="008A02DC"/>
    <w:rsid w:val="008A078D"/>
    <w:rsid w:val="008A1535"/>
    <w:rsid w:val="008A1CCA"/>
    <w:rsid w:val="008A22A9"/>
    <w:rsid w:val="008A3256"/>
    <w:rsid w:val="008A3C0E"/>
    <w:rsid w:val="008A3EBF"/>
    <w:rsid w:val="008A44C1"/>
    <w:rsid w:val="008A4859"/>
    <w:rsid w:val="008A4D34"/>
    <w:rsid w:val="008A5310"/>
    <w:rsid w:val="008A652E"/>
    <w:rsid w:val="008A691A"/>
    <w:rsid w:val="008A696A"/>
    <w:rsid w:val="008A6B00"/>
    <w:rsid w:val="008A7A4A"/>
    <w:rsid w:val="008B039D"/>
    <w:rsid w:val="008B0712"/>
    <w:rsid w:val="008B105B"/>
    <w:rsid w:val="008B1161"/>
    <w:rsid w:val="008B15C1"/>
    <w:rsid w:val="008B195F"/>
    <w:rsid w:val="008B3D81"/>
    <w:rsid w:val="008B3E1D"/>
    <w:rsid w:val="008B42B0"/>
    <w:rsid w:val="008B44B2"/>
    <w:rsid w:val="008B45E2"/>
    <w:rsid w:val="008B47AB"/>
    <w:rsid w:val="008B47D9"/>
    <w:rsid w:val="008B5C33"/>
    <w:rsid w:val="008B5D97"/>
    <w:rsid w:val="008B5E62"/>
    <w:rsid w:val="008B5F75"/>
    <w:rsid w:val="008B65A0"/>
    <w:rsid w:val="008B6AEF"/>
    <w:rsid w:val="008B6C57"/>
    <w:rsid w:val="008B6D66"/>
    <w:rsid w:val="008B6DF7"/>
    <w:rsid w:val="008B71BD"/>
    <w:rsid w:val="008C006F"/>
    <w:rsid w:val="008C011B"/>
    <w:rsid w:val="008C01F6"/>
    <w:rsid w:val="008C070A"/>
    <w:rsid w:val="008C0829"/>
    <w:rsid w:val="008C12E0"/>
    <w:rsid w:val="008C21DA"/>
    <w:rsid w:val="008C2A0E"/>
    <w:rsid w:val="008C38D3"/>
    <w:rsid w:val="008C39E6"/>
    <w:rsid w:val="008C5CC9"/>
    <w:rsid w:val="008C5D61"/>
    <w:rsid w:val="008C5F55"/>
    <w:rsid w:val="008C62DE"/>
    <w:rsid w:val="008C65BD"/>
    <w:rsid w:val="008C669F"/>
    <w:rsid w:val="008C7132"/>
    <w:rsid w:val="008C729A"/>
    <w:rsid w:val="008C76A8"/>
    <w:rsid w:val="008C7B2A"/>
    <w:rsid w:val="008C7BF0"/>
    <w:rsid w:val="008D073C"/>
    <w:rsid w:val="008D0CBB"/>
    <w:rsid w:val="008D0D1A"/>
    <w:rsid w:val="008D1194"/>
    <w:rsid w:val="008D134D"/>
    <w:rsid w:val="008D140F"/>
    <w:rsid w:val="008D1A87"/>
    <w:rsid w:val="008D2903"/>
    <w:rsid w:val="008D2C91"/>
    <w:rsid w:val="008D39FC"/>
    <w:rsid w:val="008D3C3A"/>
    <w:rsid w:val="008D3C4B"/>
    <w:rsid w:val="008D4E8E"/>
    <w:rsid w:val="008D4E95"/>
    <w:rsid w:val="008D5115"/>
    <w:rsid w:val="008D5539"/>
    <w:rsid w:val="008D629B"/>
    <w:rsid w:val="008D63F5"/>
    <w:rsid w:val="008D682F"/>
    <w:rsid w:val="008D6A2D"/>
    <w:rsid w:val="008E026E"/>
    <w:rsid w:val="008E02D3"/>
    <w:rsid w:val="008E0D37"/>
    <w:rsid w:val="008E1411"/>
    <w:rsid w:val="008E19F4"/>
    <w:rsid w:val="008E1F14"/>
    <w:rsid w:val="008E21E2"/>
    <w:rsid w:val="008E2253"/>
    <w:rsid w:val="008E38CB"/>
    <w:rsid w:val="008E390C"/>
    <w:rsid w:val="008E390F"/>
    <w:rsid w:val="008E45A2"/>
    <w:rsid w:val="008E4D05"/>
    <w:rsid w:val="008E5124"/>
    <w:rsid w:val="008E5C2C"/>
    <w:rsid w:val="008E68B0"/>
    <w:rsid w:val="008E6ED1"/>
    <w:rsid w:val="008F2079"/>
    <w:rsid w:val="008F236F"/>
    <w:rsid w:val="008F2490"/>
    <w:rsid w:val="008F2504"/>
    <w:rsid w:val="008F2921"/>
    <w:rsid w:val="008F29A0"/>
    <w:rsid w:val="008F32E7"/>
    <w:rsid w:val="008F38AA"/>
    <w:rsid w:val="008F3FCE"/>
    <w:rsid w:val="008F4105"/>
    <w:rsid w:val="008F4301"/>
    <w:rsid w:val="008F470A"/>
    <w:rsid w:val="008F4DFB"/>
    <w:rsid w:val="008F4E96"/>
    <w:rsid w:val="008F520D"/>
    <w:rsid w:val="008F537E"/>
    <w:rsid w:val="008F54F5"/>
    <w:rsid w:val="008F7B5D"/>
    <w:rsid w:val="008F7C19"/>
    <w:rsid w:val="00900DD8"/>
    <w:rsid w:val="009010B5"/>
    <w:rsid w:val="009010E0"/>
    <w:rsid w:val="0090190D"/>
    <w:rsid w:val="00901AE9"/>
    <w:rsid w:val="0090229D"/>
    <w:rsid w:val="00903B09"/>
    <w:rsid w:val="00904320"/>
    <w:rsid w:val="009043BA"/>
    <w:rsid w:val="00904417"/>
    <w:rsid w:val="009048D4"/>
    <w:rsid w:val="00904C15"/>
    <w:rsid w:val="00904C67"/>
    <w:rsid w:val="00905BE8"/>
    <w:rsid w:val="00905F95"/>
    <w:rsid w:val="0090636F"/>
    <w:rsid w:val="009068F5"/>
    <w:rsid w:val="00906D53"/>
    <w:rsid w:val="00906E1C"/>
    <w:rsid w:val="0090752A"/>
    <w:rsid w:val="00907847"/>
    <w:rsid w:val="009078B9"/>
    <w:rsid w:val="00907B01"/>
    <w:rsid w:val="00910509"/>
    <w:rsid w:val="00910602"/>
    <w:rsid w:val="0091150D"/>
    <w:rsid w:val="00911C39"/>
    <w:rsid w:val="00911CBE"/>
    <w:rsid w:val="0091204B"/>
    <w:rsid w:val="00912FEF"/>
    <w:rsid w:val="009132DC"/>
    <w:rsid w:val="009137AE"/>
    <w:rsid w:val="00913D2C"/>
    <w:rsid w:val="0091424D"/>
    <w:rsid w:val="00916E4D"/>
    <w:rsid w:val="0091710D"/>
    <w:rsid w:val="00917488"/>
    <w:rsid w:val="00917671"/>
    <w:rsid w:val="009179B2"/>
    <w:rsid w:val="0091BEA3"/>
    <w:rsid w:val="00920488"/>
    <w:rsid w:val="00920E66"/>
    <w:rsid w:val="00921842"/>
    <w:rsid w:val="0092229B"/>
    <w:rsid w:val="00922935"/>
    <w:rsid w:val="0092308B"/>
    <w:rsid w:val="00924D37"/>
    <w:rsid w:val="0092540E"/>
    <w:rsid w:val="00925611"/>
    <w:rsid w:val="009256BE"/>
    <w:rsid w:val="00926191"/>
    <w:rsid w:val="00930211"/>
    <w:rsid w:val="0093096A"/>
    <w:rsid w:val="00930EB9"/>
    <w:rsid w:val="00931820"/>
    <w:rsid w:val="00931C79"/>
    <w:rsid w:val="009320F8"/>
    <w:rsid w:val="009321EB"/>
    <w:rsid w:val="009329E5"/>
    <w:rsid w:val="00933654"/>
    <w:rsid w:val="00933EB1"/>
    <w:rsid w:val="0093401B"/>
    <w:rsid w:val="00934648"/>
    <w:rsid w:val="009347C5"/>
    <w:rsid w:val="009347D5"/>
    <w:rsid w:val="00934B2C"/>
    <w:rsid w:val="00934DA3"/>
    <w:rsid w:val="00934EE8"/>
    <w:rsid w:val="00935DE5"/>
    <w:rsid w:val="00935F17"/>
    <w:rsid w:val="00936621"/>
    <w:rsid w:val="00936CC6"/>
    <w:rsid w:val="00937180"/>
    <w:rsid w:val="00937872"/>
    <w:rsid w:val="00937CFB"/>
    <w:rsid w:val="0094034C"/>
    <w:rsid w:val="009403B2"/>
    <w:rsid w:val="0094054D"/>
    <w:rsid w:val="0094130B"/>
    <w:rsid w:val="00941E37"/>
    <w:rsid w:val="00941F47"/>
    <w:rsid w:val="009424FA"/>
    <w:rsid w:val="0094282E"/>
    <w:rsid w:val="00943242"/>
    <w:rsid w:val="0094395D"/>
    <w:rsid w:val="009446D8"/>
    <w:rsid w:val="00945A9E"/>
    <w:rsid w:val="009475F6"/>
    <w:rsid w:val="00947739"/>
    <w:rsid w:val="009477D0"/>
    <w:rsid w:val="00947C00"/>
    <w:rsid w:val="00947D1A"/>
    <w:rsid w:val="00947F75"/>
    <w:rsid w:val="009502C4"/>
    <w:rsid w:val="00950CA1"/>
    <w:rsid w:val="00951647"/>
    <w:rsid w:val="00952851"/>
    <w:rsid w:val="00952A76"/>
    <w:rsid w:val="00953607"/>
    <w:rsid w:val="00953676"/>
    <w:rsid w:val="0095482A"/>
    <w:rsid w:val="00954B32"/>
    <w:rsid w:val="00954BC9"/>
    <w:rsid w:val="00955853"/>
    <w:rsid w:val="0095778F"/>
    <w:rsid w:val="009601A3"/>
    <w:rsid w:val="00960530"/>
    <w:rsid w:val="00960985"/>
    <w:rsid w:val="00961511"/>
    <w:rsid w:val="00962A45"/>
    <w:rsid w:val="00962FF9"/>
    <w:rsid w:val="0096345B"/>
    <w:rsid w:val="00964281"/>
    <w:rsid w:val="0096460E"/>
    <w:rsid w:val="00964953"/>
    <w:rsid w:val="00964D61"/>
    <w:rsid w:val="0096539C"/>
    <w:rsid w:val="0096591C"/>
    <w:rsid w:val="00965B36"/>
    <w:rsid w:val="009663E3"/>
    <w:rsid w:val="0096679C"/>
    <w:rsid w:val="009669F9"/>
    <w:rsid w:val="00966B5E"/>
    <w:rsid w:val="00966D0D"/>
    <w:rsid w:val="00967494"/>
    <w:rsid w:val="00967564"/>
    <w:rsid w:val="00967744"/>
    <w:rsid w:val="00967AD5"/>
    <w:rsid w:val="00970518"/>
    <w:rsid w:val="00970681"/>
    <w:rsid w:val="00971AE6"/>
    <w:rsid w:val="009721B7"/>
    <w:rsid w:val="009724B1"/>
    <w:rsid w:val="00972A68"/>
    <w:rsid w:val="009731AE"/>
    <w:rsid w:val="00973220"/>
    <w:rsid w:val="0097461B"/>
    <w:rsid w:val="00974D84"/>
    <w:rsid w:val="00975CE0"/>
    <w:rsid w:val="00977CE1"/>
    <w:rsid w:val="009801FC"/>
    <w:rsid w:val="00980311"/>
    <w:rsid w:val="009804E7"/>
    <w:rsid w:val="00981943"/>
    <w:rsid w:val="00981CED"/>
    <w:rsid w:val="00981DB2"/>
    <w:rsid w:val="00982A49"/>
    <w:rsid w:val="00982FC4"/>
    <w:rsid w:val="0098365B"/>
    <w:rsid w:val="00983BBE"/>
    <w:rsid w:val="00983D07"/>
    <w:rsid w:val="00984859"/>
    <w:rsid w:val="00984DB9"/>
    <w:rsid w:val="00986121"/>
    <w:rsid w:val="009864F6"/>
    <w:rsid w:val="00986B3A"/>
    <w:rsid w:val="00987726"/>
    <w:rsid w:val="009879DF"/>
    <w:rsid w:val="0099006B"/>
    <w:rsid w:val="00990753"/>
    <w:rsid w:val="0099076F"/>
    <w:rsid w:val="009919D8"/>
    <w:rsid w:val="00991A86"/>
    <w:rsid w:val="00991E79"/>
    <w:rsid w:val="009921DB"/>
    <w:rsid w:val="009927C0"/>
    <w:rsid w:val="00992855"/>
    <w:rsid w:val="00992D93"/>
    <w:rsid w:val="00992F2B"/>
    <w:rsid w:val="00993F60"/>
    <w:rsid w:val="009943C3"/>
    <w:rsid w:val="00994646"/>
    <w:rsid w:val="00994677"/>
    <w:rsid w:val="009946C4"/>
    <w:rsid w:val="009949B7"/>
    <w:rsid w:val="00994B2E"/>
    <w:rsid w:val="00994E1D"/>
    <w:rsid w:val="009956DF"/>
    <w:rsid w:val="00995976"/>
    <w:rsid w:val="00995EEC"/>
    <w:rsid w:val="00996520"/>
    <w:rsid w:val="00996DDA"/>
    <w:rsid w:val="00997209"/>
    <w:rsid w:val="009978E2"/>
    <w:rsid w:val="00997E0C"/>
    <w:rsid w:val="00997EAB"/>
    <w:rsid w:val="009A140D"/>
    <w:rsid w:val="009A14A3"/>
    <w:rsid w:val="009A1D71"/>
    <w:rsid w:val="009A1D97"/>
    <w:rsid w:val="009A1FE4"/>
    <w:rsid w:val="009A28BC"/>
    <w:rsid w:val="009A2BE7"/>
    <w:rsid w:val="009A2F58"/>
    <w:rsid w:val="009A313A"/>
    <w:rsid w:val="009A32C0"/>
    <w:rsid w:val="009A34B2"/>
    <w:rsid w:val="009A3C81"/>
    <w:rsid w:val="009A469E"/>
    <w:rsid w:val="009A4BAF"/>
    <w:rsid w:val="009A685F"/>
    <w:rsid w:val="009A7589"/>
    <w:rsid w:val="009B1329"/>
    <w:rsid w:val="009B1DBE"/>
    <w:rsid w:val="009B2403"/>
    <w:rsid w:val="009B24E3"/>
    <w:rsid w:val="009B3F92"/>
    <w:rsid w:val="009B3FD6"/>
    <w:rsid w:val="009B46DD"/>
    <w:rsid w:val="009B47F1"/>
    <w:rsid w:val="009B4A1F"/>
    <w:rsid w:val="009B4DD9"/>
    <w:rsid w:val="009B55B8"/>
    <w:rsid w:val="009B5F44"/>
    <w:rsid w:val="009B62B0"/>
    <w:rsid w:val="009B6490"/>
    <w:rsid w:val="009B6524"/>
    <w:rsid w:val="009B6949"/>
    <w:rsid w:val="009B7571"/>
    <w:rsid w:val="009B7615"/>
    <w:rsid w:val="009B7672"/>
    <w:rsid w:val="009C00F5"/>
    <w:rsid w:val="009C010D"/>
    <w:rsid w:val="009C0B69"/>
    <w:rsid w:val="009C162B"/>
    <w:rsid w:val="009C1C68"/>
    <w:rsid w:val="009C228A"/>
    <w:rsid w:val="009C27B3"/>
    <w:rsid w:val="009C2A9B"/>
    <w:rsid w:val="009C337D"/>
    <w:rsid w:val="009C3837"/>
    <w:rsid w:val="009C4996"/>
    <w:rsid w:val="009C5605"/>
    <w:rsid w:val="009C67AD"/>
    <w:rsid w:val="009C6ABA"/>
    <w:rsid w:val="009C6B3B"/>
    <w:rsid w:val="009C6F5E"/>
    <w:rsid w:val="009C705B"/>
    <w:rsid w:val="009C759E"/>
    <w:rsid w:val="009D01D3"/>
    <w:rsid w:val="009D0B32"/>
    <w:rsid w:val="009D1945"/>
    <w:rsid w:val="009D1B3C"/>
    <w:rsid w:val="009D2241"/>
    <w:rsid w:val="009D270E"/>
    <w:rsid w:val="009D298C"/>
    <w:rsid w:val="009D2EBA"/>
    <w:rsid w:val="009D2FD2"/>
    <w:rsid w:val="009D3627"/>
    <w:rsid w:val="009D3CA5"/>
    <w:rsid w:val="009D4A68"/>
    <w:rsid w:val="009D5996"/>
    <w:rsid w:val="009D5E88"/>
    <w:rsid w:val="009D6EED"/>
    <w:rsid w:val="009D723C"/>
    <w:rsid w:val="009D7451"/>
    <w:rsid w:val="009D74A2"/>
    <w:rsid w:val="009D778D"/>
    <w:rsid w:val="009D7C4B"/>
    <w:rsid w:val="009E02B3"/>
    <w:rsid w:val="009E07D7"/>
    <w:rsid w:val="009E0B0B"/>
    <w:rsid w:val="009E0EDE"/>
    <w:rsid w:val="009E252B"/>
    <w:rsid w:val="009E331F"/>
    <w:rsid w:val="009E34A3"/>
    <w:rsid w:val="009E4291"/>
    <w:rsid w:val="009E43C2"/>
    <w:rsid w:val="009E4568"/>
    <w:rsid w:val="009E47A2"/>
    <w:rsid w:val="009E502D"/>
    <w:rsid w:val="009E5BC4"/>
    <w:rsid w:val="009E6789"/>
    <w:rsid w:val="009E7010"/>
    <w:rsid w:val="009E7579"/>
    <w:rsid w:val="009E7C16"/>
    <w:rsid w:val="009E7CBC"/>
    <w:rsid w:val="009F0260"/>
    <w:rsid w:val="009F03CC"/>
    <w:rsid w:val="009F03E7"/>
    <w:rsid w:val="009F0D31"/>
    <w:rsid w:val="009F19AC"/>
    <w:rsid w:val="009F2689"/>
    <w:rsid w:val="009F2F61"/>
    <w:rsid w:val="009F3130"/>
    <w:rsid w:val="009F45A8"/>
    <w:rsid w:val="009F4D25"/>
    <w:rsid w:val="009F6E33"/>
    <w:rsid w:val="009F7576"/>
    <w:rsid w:val="009F7FD8"/>
    <w:rsid w:val="00A001C4"/>
    <w:rsid w:val="00A0048C"/>
    <w:rsid w:val="00A00490"/>
    <w:rsid w:val="00A00E0C"/>
    <w:rsid w:val="00A00F96"/>
    <w:rsid w:val="00A01FC3"/>
    <w:rsid w:val="00A02D38"/>
    <w:rsid w:val="00A032EE"/>
    <w:rsid w:val="00A038BB"/>
    <w:rsid w:val="00A03EF0"/>
    <w:rsid w:val="00A0421A"/>
    <w:rsid w:val="00A049B2"/>
    <w:rsid w:val="00A0513E"/>
    <w:rsid w:val="00A05925"/>
    <w:rsid w:val="00A06519"/>
    <w:rsid w:val="00A06A3A"/>
    <w:rsid w:val="00A06B4D"/>
    <w:rsid w:val="00A079F8"/>
    <w:rsid w:val="00A07A4B"/>
    <w:rsid w:val="00A10A73"/>
    <w:rsid w:val="00A10E76"/>
    <w:rsid w:val="00A111B9"/>
    <w:rsid w:val="00A11427"/>
    <w:rsid w:val="00A1143F"/>
    <w:rsid w:val="00A12E3D"/>
    <w:rsid w:val="00A12FA4"/>
    <w:rsid w:val="00A13881"/>
    <w:rsid w:val="00A138D2"/>
    <w:rsid w:val="00A13A7D"/>
    <w:rsid w:val="00A14065"/>
    <w:rsid w:val="00A14F40"/>
    <w:rsid w:val="00A150EE"/>
    <w:rsid w:val="00A15106"/>
    <w:rsid w:val="00A155D8"/>
    <w:rsid w:val="00A15DF4"/>
    <w:rsid w:val="00A16845"/>
    <w:rsid w:val="00A16B65"/>
    <w:rsid w:val="00A205E6"/>
    <w:rsid w:val="00A216CE"/>
    <w:rsid w:val="00A21872"/>
    <w:rsid w:val="00A220B9"/>
    <w:rsid w:val="00A22111"/>
    <w:rsid w:val="00A22415"/>
    <w:rsid w:val="00A22841"/>
    <w:rsid w:val="00A2284F"/>
    <w:rsid w:val="00A22A9E"/>
    <w:rsid w:val="00A235C1"/>
    <w:rsid w:val="00A23ACF"/>
    <w:rsid w:val="00A25290"/>
    <w:rsid w:val="00A26177"/>
    <w:rsid w:val="00A26EF1"/>
    <w:rsid w:val="00A273DA"/>
    <w:rsid w:val="00A27AAD"/>
    <w:rsid w:val="00A3015D"/>
    <w:rsid w:val="00A3052B"/>
    <w:rsid w:val="00A30CD5"/>
    <w:rsid w:val="00A30D7A"/>
    <w:rsid w:val="00A318B1"/>
    <w:rsid w:val="00A3196A"/>
    <w:rsid w:val="00A32396"/>
    <w:rsid w:val="00A34CAA"/>
    <w:rsid w:val="00A35AF5"/>
    <w:rsid w:val="00A35D5F"/>
    <w:rsid w:val="00A35DCD"/>
    <w:rsid w:val="00A35ECD"/>
    <w:rsid w:val="00A362D7"/>
    <w:rsid w:val="00A37178"/>
    <w:rsid w:val="00A379F8"/>
    <w:rsid w:val="00A37A95"/>
    <w:rsid w:val="00A37E8E"/>
    <w:rsid w:val="00A37EC3"/>
    <w:rsid w:val="00A40188"/>
    <w:rsid w:val="00A4049D"/>
    <w:rsid w:val="00A40E5F"/>
    <w:rsid w:val="00A41366"/>
    <w:rsid w:val="00A41567"/>
    <w:rsid w:val="00A422DA"/>
    <w:rsid w:val="00A42464"/>
    <w:rsid w:val="00A425F3"/>
    <w:rsid w:val="00A42945"/>
    <w:rsid w:val="00A42E17"/>
    <w:rsid w:val="00A42E95"/>
    <w:rsid w:val="00A43A94"/>
    <w:rsid w:val="00A44192"/>
    <w:rsid w:val="00A44251"/>
    <w:rsid w:val="00A44933"/>
    <w:rsid w:val="00A44CE6"/>
    <w:rsid w:val="00A44D46"/>
    <w:rsid w:val="00A453E2"/>
    <w:rsid w:val="00A456DA"/>
    <w:rsid w:val="00A45755"/>
    <w:rsid w:val="00A45932"/>
    <w:rsid w:val="00A45CB8"/>
    <w:rsid w:val="00A45DDC"/>
    <w:rsid w:val="00A4607E"/>
    <w:rsid w:val="00A46BCE"/>
    <w:rsid w:val="00A47FD8"/>
    <w:rsid w:val="00A50783"/>
    <w:rsid w:val="00A508DE"/>
    <w:rsid w:val="00A518AB"/>
    <w:rsid w:val="00A51DFF"/>
    <w:rsid w:val="00A52C54"/>
    <w:rsid w:val="00A535F2"/>
    <w:rsid w:val="00A53C5D"/>
    <w:rsid w:val="00A548A2"/>
    <w:rsid w:val="00A54E1A"/>
    <w:rsid w:val="00A54F75"/>
    <w:rsid w:val="00A55A3F"/>
    <w:rsid w:val="00A55A79"/>
    <w:rsid w:val="00A55A86"/>
    <w:rsid w:val="00A55A93"/>
    <w:rsid w:val="00A56A27"/>
    <w:rsid w:val="00A5751C"/>
    <w:rsid w:val="00A57791"/>
    <w:rsid w:val="00A5782D"/>
    <w:rsid w:val="00A578E5"/>
    <w:rsid w:val="00A60F19"/>
    <w:rsid w:val="00A61175"/>
    <w:rsid w:val="00A614D7"/>
    <w:rsid w:val="00A61959"/>
    <w:rsid w:val="00A635A0"/>
    <w:rsid w:val="00A642B6"/>
    <w:rsid w:val="00A64501"/>
    <w:rsid w:val="00A64B6F"/>
    <w:rsid w:val="00A64B91"/>
    <w:rsid w:val="00A6562D"/>
    <w:rsid w:val="00A65898"/>
    <w:rsid w:val="00A65BDC"/>
    <w:rsid w:val="00A65E1E"/>
    <w:rsid w:val="00A6655F"/>
    <w:rsid w:val="00A665E3"/>
    <w:rsid w:val="00A66AA6"/>
    <w:rsid w:val="00A7005F"/>
    <w:rsid w:val="00A70924"/>
    <w:rsid w:val="00A70B51"/>
    <w:rsid w:val="00A7159B"/>
    <w:rsid w:val="00A717EF"/>
    <w:rsid w:val="00A71914"/>
    <w:rsid w:val="00A71A9B"/>
    <w:rsid w:val="00A71AEE"/>
    <w:rsid w:val="00A72609"/>
    <w:rsid w:val="00A738BB"/>
    <w:rsid w:val="00A73D11"/>
    <w:rsid w:val="00A73DB1"/>
    <w:rsid w:val="00A73F30"/>
    <w:rsid w:val="00A73FDB"/>
    <w:rsid w:val="00A740B2"/>
    <w:rsid w:val="00A7458D"/>
    <w:rsid w:val="00A7497B"/>
    <w:rsid w:val="00A74F61"/>
    <w:rsid w:val="00A7757B"/>
    <w:rsid w:val="00A802C2"/>
    <w:rsid w:val="00A80776"/>
    <w:rsid w:val="00A80EFB"/>
    <w:rsid w:val="00A8134F"/>
    <w:rsid w:val="00A81742"/>
    <w:rsid w:val="00A820BB"/>
    <w:rsid w:val="00A8316A"/>
    <w:rsid w:val="00A8344C"/>
    <w:rsid w:val="00A83566"/>
    <w:rsid w:val="00A83930"/>
    <w:rsid w:val="00A83E19"/>
    <w:rsid w:val="00A841C9"/>
    <w:rsid w:val="00A853CD"/>
    <w:rsid w:val="00A85F3F"/>
    <w:rsid w:val="00A863FC"/>
    <w:rsid w:val="00A866DC"/>
    <w:rsid w:val="00A86B4C"/>
    <w:rsid w:val="00A87160"/>
    <w:rsid w:val="00A87941"/>
    <w:rsid w:val="00A8796E"/>
    <w:rsid w:val="00A9015D"/>
    <w:rsid w:val="00A904BC"/>
    <w:rsid w:val="00A91229"/>
    <w:rsid w:val="00A915D0"/>
    <w:rsid w:val="00A917F9"/>
    <w:rsid w:val="00A92413"/>
    <w:rsid w:val="00A9244D"/>
    <w:rsid w:val="00A925D0"/>
    <w:rsid w:val="00A928C6"/>
    <w:rsid w:val="00A92982"/>
    <w:rsid w:val="00A929CE"/>
    <w:rsid w:val="00A929E3"/>
    <w:rsid w:val="00A92F2D"/>
    <w:rsid w:val="00A92FA9"/>
    <w:rsid w:val="00A932F6"/>
    <w:rsid w:val="00A93481"/>
    <w:rsid w:val="00A937E6"/>
    <w:rsid w:val="00A952C7"/>
    <w:rsid w:val="00A9563F"/>
    <w:rsid w:val="00A95921"/>
    <w:rsid w:val="00A95923"/>
    <w:rsid w:val="00A96F9E"/>
    <w:rsid w:val="00A974BD"/>
    <w:rsid w:val="00A974DA"/>
    <w:rsid w:val="00AA00A2"/>
    <w:rsid w:val="00AA021F"/>
    <w:rsid w:val="00AA0583"/>
    <w:rsid w:val="00AA07CD"/>
    <w:rsid w:val="00AA0F00"/>
    <w:rsid w:val="00AA1388"/>
    <w:rsid w:val="00AA176A"/>
    <w:rsid w:val="00AA1B6D"/>
    <w:rsid w:val="00AA283F"/>
    <w:rsid w:val="00AA2D96"/>
    <w:rsid w:val="00AA30D7"/>
    <w:rsid w:val="00AA3268"/>
    <w:rsid w:val="00AA408A"/>
    <w:rsid w:val="00AA4B17"/>
    <w:rsid w:val="00AA5EE5"/>
    <w:rsid w:val="00AA629E"/>
    <w:rsid w:val="00AA647C"/>
    <w:rsid w:val="00AB0504"/>
    <w:rsid w:val="00AB08DA"/>
    <w:rsid w:val="00AB0A63"/>
    <w:rsid w:val="00AB0AD2"/>
    <w:rsid w:val="00AB1C9C"/>
    <w:rsid w:val="00AB22E5"/>
    <w:rsid w:val="00AB260A"/>
    <w:rsid w:val="00AB2F0B"/>
    <w:rsid w:val="00AB37EA"/>
    <w:rsid w:val="00AB3F26"/>
    <w:rsid w:val="00AB433B"/>
    <w:rsid w:val="00AB56FC"/>
    <w:rsid w:val="00AB6139"/>
    <w:rsid w:val="00AB6379"/>
    <w:rsid w:val="00AB68C4"/>
    <w:rsid w:val="00AB729F"/>
    <w:rsid w:val="00AB7DDB"/>
    <w:rsid w:val="00AC0E7B"/>
    <w:rsid w:val="00AC2234"/>
    <w:rsid w:val="00AC2D1D"/>
    <w:rsid w:val="00AC43F8"/>
    <w:rsid w:val="00AC4BA2"/>
    <w:rsid w:val="00AC5F8B"/>
    <w:rsid w:val="00AC635F"/>
    <w:rsid w:val="00AC63AE"/>
    <w:rsid w:val="00AC6E56"/>
    <w:rsid w:val="00AC7186"/>
    <w:rsid w:val="00AC732D"/>
    <w:rsid w:val="00AC7B5E"/>
    <w:rsid w:val="00AC7D04"/>
    <w:rsid w:val="00AD0DF6"/>
    <w:rsid w:val="00AD12D3"/>
    <w:rsid w:val="00AD233A"/>
    <w:rsid w:val="00AD2CA4"/>
    <w:rsid w:val="00AD34C7"/>
    <w:rsid w:val="00AD41EC"/>
    <w:rsid w:val="00AD4FA9"/>
    <w:rsid w:val="00AD528E"/>
    <w:rsid w:val="00AD5622"/>
    <w:rsid w:val="00AD5788"/>
    <w:rsid w:val="00AD5AE7"/>
    <w:rsid w:val="00AD6376"/>
    <w:rsid w:val="00AD664F"/>
    <w:rsid w:val="00AD74D3"/>
    <w:rsid w:val="00AD7570"/>
    <w:rsid w:val="00AD76E7"/>
    <w:rsid w:val="00AD794F"/>
    <w:rsid w:val="00AE077F"/>
    <w:rsid w:val="00AE0826"/>
    <w:rsid w:val="00AE16FE"/>
    <w:rsid w:val="00AE257C"/>
    <w:rsid w:val="00AE2BE8"/>
    <w:rsid w:val="00AE348E"/>
    <w:rsid w:val="00AE385A"/>
    <w:rsid w:val="00AE395B"/>
    <w:rsid w:val="00AE3A66"/>
    <w:rsid w:val="00AE41C5"/>
    <w:rsid w:val="00AE55AC"/>
    <w:rsid w:val="00AE6006"/>
    <w:rsid w:val="00AE6E36"/>
    <w:rsid w:val="00AE6FDE"/>
    <w:rsid w:val="00AE7174"/>
    <w:rsid w:val="00AE74D3"/>
    <w:rsid w:val="00AE76E0"/>
    <w:rsid w:val="00AEBC86"/>
    <w:rsid w:val="00AF0EB6"/>
    <w:rsid w:val="00AF1517"/>
    <w:rsid w:val="00AF289D"/>
    <w:rsid w:val="00AF383A"/>
    <w:rsid w:val="00AF4238"/>
    <w:rsid w:val="00AF4DDC"/>
    <w:rsid w:val="00AF4E28"/>
    <w:rsid w:val="00AF5051"/>
    <w:rsid w:val="00AF5785"/>
    <w:rsid w:val="00AF5CAF"/>
    <w:rsid w:val="00AF6523"/>
    <w:rsid w:val="00AF74F9"/>
    <w:rsid w:val="00AF7621"/>
    <w:rsid w:val="00AF7628"/>
    <w:rsid w:val="00AF7685"/>
    <w:rsid w:val="00AF7A7D"/>
    <w:rsid w:val="00B005B3"/>
    <w:rsid w:val="00B00C75"/>
    <w:rsid w:val="00B0136E"/>
    <w:rsid w:val="00B02714"/>
    <w:rsid w:val="00B03C13"/>
    <w:rsid w:val="00B046FF"/>
    <w:rsid w:val="00B04FA5"/>
    <w:rsid w:val="00B05A75"/>
    <w:rsid w:val="00B0641C"/>
    <w:rsid w:val="00B06A83"/>
    <w:rsid w:val="00B06F0F"/>
    <w:rsid w:val="00B07CA3"/>
    <w:rsid w:val="00B07D59"/>
    <w:rsid w:val="00B10E67"/>
    <w:rsid w:val="00B11058"/>
    <w:rsid w:val="00B11154"/>
    <w:rsid w:val="00B116A9"/>
    <w:rsid w:val="00B11C41"/>
    <w:rsid w:val="00B11E1F"/>
    <w:rsid w:val="00B122A1"/>
    <w:rsid w:val="00B1259A"/>
    <w:rsid w:val="00B126F4"/>
    <w:rsid w:val="00B13080"/>
    <w:rsid w:val="00B13E28"/>
    <w:rsid w:val="00B13FD8"/>
    <w:rsid w:val="00B141C7"/>
    <w:rsid w:val="00B14805"/>
    <w:rsid w:val="00B14852"/>
    <w:rsid w:val="00B163F9"/>
    <w:rsid w:val="00B16A89"/>
    <w:rsid w:val="00B173FB"/>
    <w:rsid w:val="00B17402"/>
    <w:rsid w:val="00B17919"/>
    <w:rsid w:val="00B17BFF"/>
    <w:rsid w:val="00B209E7"/>
    <w:rsid w:val="00B20CCF"/>
    <w:rsid w:val="00B21085"/>
    <w:rsid w:val="00B210C3"/>
    <w:rsid w:val="00B212FD"/>
    <w:rsid w:val="00B2244E"/>
    <w:rsid w:val="00B22885"/>
    <w:rsid w:val="00B22ABF"/>
    <w:rsid w:val="00B22BA9"/>
    <w:rsid w:val="00B2339D"/>
    <w:rsid w:val="00B24923"/>
    <w:rsid w:val="00B26AE4"/>
    <w:rsid w:val="00B27473"/>
    <w:rsid w:val="00B27B08"/>
    <w:rsid w:val="00B30681"/>
    <w:rsid w:val="00B308C4"/>
    <w:rsid w:val="00B32829"/>
    <w:rsid w:val="00B34846"/>
    <w:rsid w:val="00B34D84"/>
    <w:rsid w:val="00B34D9F"/>
    <w:rsid w:val="00B34E26"/>
    <w:rsid w:val="00B367B9"/>
    <w:rsid w:val="00B373DF"/>
    <w:rsid w:val="00B37622"/>
    <w:rsid w:val="00B407E5"/>
    <w:rsid w:val="00B408E2"/>
    <w:rsid w:val="00B40DA1"/>
    <w:rsid w:val="00B40F55"/>
    <w:rsid w:val="00B411E5"/>
    <w:rsid w:val="00B412D1"/>
    <w:rsid w:val="00B41390"/>
    <w:rsid w:val="00B42AB9"/>
    <w:rsid w:val="00B43AE1"/>
    <w:rsid w:val="00B43C68"/>
    <w:rsid w:val="00B43DBC"/>
    <w:rsid w:val="00B43F78"/>
    <w:rsid w:val="00B440CE"/>
    <w:rsid w:val="00B44574"/>
    <w:rsid w:val="00B450A9"/>
    <w:rsid w:val="00B451E0"/>
    <w:rsid w:val="00B45223"/>
    <w:rsid w:val="00B4627A"/>
    <w:rsid w:val="00B46644"/>
    <w:rsid w:val="00B4708B"/>
    <w:rsid w:val="00B476F1"/>
    <w:rsid w:val="00B506A3"/>
    <w:rsid w:val="00B50C19"/>
    <w:rsid w:val="00B512E5"/>
    <w:rsid w:val="00B51A4E"/>
    <w:rsid w:val="00B51BDC"/>
    <w:rsid w:val="00B51FD6"/>
    <w:rsid w:val="00B53270"/>
    <w:rsid w:val="00B53455"/>
    <w:rsid w:val="00B53799"/>
    <w:rsid w:val="00B54170"/>
    <w:rsid w:val="00B561C0"/>
    <w:rsid w:val="00B566A6"/>
    <w:rsid w:val="00B56913"/>
    <w:rsid w:val="00B56B4E"/>
    <w:rsid w:val="00B5734D"/>
    <w:rsid w:val="00B60D81"/>
    <w:rsid w:val="00B624DD"/>
    <w:rsid w:val="00B6257F"/>
    <w:rsid w:val="00B628B5"/>
    <w:rsid w:val="00B62ECD"/>
    <w:rsid w:val="00B63B3B"/>
    <w:rsid w:val="00B6531F"/>
    <w:rsid w:val="00B65556"/>
    <w:rsid w:val="00B65A84"/>
    <w:rsid w:val="00B66170"/>
    <w:rsid w:val="00B66B5D"/>
    <w:rsid w:val="00B66BBE"/>
    <w:rsid w:val="00B66E13"/>
    <w:rsid w:val="00B6753E"/>
    <w:rsid w:val="00B6784B"/>
    <w:rsid w:val="00B708DC"/>
    <w:rsid w:val="00B71113"/>
    <w:rsid w:val="00B71544"/>
    <w:rsid w:val="00B71995"/>
    <w:rsid w:val="00B71CFE"/>
    <w:rsid w:val="00B72D21"/>
    <w:rsid w:val="00B72E6C"/>
    <w:rsid w:val="00B72FA7"/>
    <w:rsid w:val="00B73042"/>
    <w:rsid w:val="00B754A0"/>
    <w:rsid w:val="00B7552D"/>
    <w:rsid w:val="00B75ECC"/>
    <w:rsid w:val="00B773CE"/>
    <w:rsid w:val="00B77EF2"/>
    <w:rsid w:val="00B80625"/>
    <w:rsid w:val="00B80918"/>
    <w:rsid w:val="00B80984"/>
    <w:rsid w:val="00B80D42"/>
    <w:rsid w:val="00B813D9"/>
    <w:rsid w:val="00B82637"/>
    <w:rsid w:val="00B8293C"/>
    <w:rsid w:val="00B82AB3"/>
    <w:rsid w:val="00B82EA3"/>
    <w:rsid w:val="00B82EDA"/>
    <w:rsid w:val="00B83BAD"/>
    <w:rsid w:val="00B8437E"/>
    <w:rsid w:val="00B843BB"/>
    <w:rsid w:val="00B844AD"/>
    <w:rsid w:val="00B8476F"/>
    <w:rsid w:val="00B8513C"/>
    <w:rsid w:val="00B85375"/>
    <w:rsid w:val="00B853E8"/>
    <w:rsid w:val="00B8544C"/>
    <w:rsid w:val="00B86883"/>
    <w:rsid w:val="00B86DDD"/>
    <w:rsid w:val="00B871C0"/>
    <w:rsid w:val="00B8743D"/>
    <w:rsid w:val="00B87893"/>
    <w:rsid w:val="00B90717"/>
    <w:rsid w:val="00B90A1E"/>
    <w:rsid w:val="00B91D38"/>
    <w:rsid w:val="00B92470"/>
    <w:rsid w:val="00B927A0"/>
    <w:rsid w:val="00B931FB"/>
    <w:rsid w:val="00B93361"/>
    <w:rsid w:val="00B9484A"/>
    <w:rsid w:val="00B951AC"/>
    <w:rsid w:val="00B96344"/>
    <w:rsid w:val="00B9667B"/>
    <w:rsid w:val="00B96EC9"/>
    <w:rsid w:val="00B9719A"/>
    <w:rsid w:val="00B974D1"/>
    <w:rsid w:val="00B97BFE"/>
    <w:rsid w:val="00B97CD7"/>
    <w:rsid w:val="00B97DD1"/>
    <w:rsid w:val="00BA091B"/>
    <w:rsid w:val="00BA0A7F"/>
    <w:rsid w:val="00BA0FEB"/>
    <w:rsid w:val="00BA1704"/>
    <w:rsid w:val="00BA1714"/>
    <w:rsid w:val="00BA1BBF"/>
    <w:rsid w:val="00BA32E8"/>
    <w:rsid w:val="00BA49F9"/>
    <w:rsid w:val="00BA4CA6"/>
    <w:rsid w:val="00BA56A2"/>
    <w:rsid w:val="00BA5A74"/>
    <w:rsid w:val="00BA5BD5"/>
    <w:rsid w:val="00BA6E1C"/>
    <w:rsid w:val="00BA7884"/>
    <w:rsid w:val="00BA7FA2"/>
    <w:rsid w:val="00BB007C"/>
    <w:rsid w:val="00BB082D"/>
    <w:rsid w:val="00BB08FD"/>
    <w:rsid w:val="00BB0EAC"/>
    <w:rsid w:val="00BB17C5"/>
    <w:rsid w:val="00BB1B31"/>
    <w:rsid w:val="00BB1BE7"/>
    <w:rsid w:val="00BB2334"/>
    <w:rsid w:val="00BB28ED"/>
    <w:rsid w:val="00BB2940"/>
    <w:rsid w:val="00BB30E5"/>
    <w:rsid w:val="00BB37F3"/>
    <w:rsid w:val="00BB4331"/>
    <w:rsid w:val="00BB5126"/>
    <w:rsid w:val="00BB5812"/>
    <w:rsid w:val="00BB5B83"/>
    <w:rsid w:val="00BB5FB3"/>
    <w:rsid w:val="00BB6B95"/>
    <w:rsid w:val="00BB6FAD"/>
    <w:rsid w:val="00BB7807"/>
    <w:rsid w:val="00BB7D05"/>
    <w:rsid w:val="00BC0353"/>
    <w:rsid w:val="00BC115A"/>
    <w:rsid w:val="00BC1762"/>
    <w:rsid w:val="00BC1837"/>
    <w:rsid w:val="00BC2046"/>
    <w:rsid w:val="00BC22AA"/>
    <w:rsid w:val="00BC33C1"/>
    <w:rsid w:val="00BC3853"/>
    <w:rsid w:val="00BC3A60"/>
    <w:rsid w:val="00BC413B"/>
    <w:rsid w:val="00BC465B"/>
    <w:rsid w:val="00BC46B5"/>
    <w:rsid w:val="00BC49F3"/>
    <w:rsid w:val="00BC5007"/>
    <w:rsid w:val="00BC54B3"/>
    <w:rsid w:val="00BC5598"/>
    <w:rsid w:val="00BC577F"/>
    <w:rsid w:val="00BC5B28"/>
    <w:rsid w:val="00BC5E21"/>
    <w:rsid w:val="00BC6B29"/>
    <w:rsid w:val="00BC709A"/>
    <w:rsid w:val="00BC7CAA"/>
    <w:rsid w:val="00BD00F4"/>
    <w:rsid w:val="00BD0552"/>
    <w:rsid w:val="00BD0967"/>
    <w:rsid w:val="00BD12EE"/>
    <w:rsid w:val="00BD13D2"/>
    <w:rsid w:val="00BD1A07"/>
    <w:rsid w:val="00BD2016"/>
    <w:rsid w:val="00BD239B"/>
    <w:rsid w:val="00BD3579"/>
    <w:rsid w:val="00BD3FA3"/>
    <w:rsid w:val="00BD4A48"/>
    <w:rsid w:val="00BD4BA4"/>
    <w:rsid w:val="00BD4BDB"/>
    <w:rsid w:val="00BD4D44"/>
    <w:rsid w:val="00BD4EE0"/>
    <w:rsid w:val="00BD5A64"/>
    <w:rsid w:val="00BD6D3F"/>
    <w:rsid w:val="00BD6E90"/>
    <w:rsid w:val="00BD7164"/>
    <w:rsid w:val="00BD76AE"/>
    <w:rsid w:val="00BD786A"/>
    <w:rsid w:val="00BD7CB7"/>
    <w:rsid w:val="00BD7F5C"/>
    <w:rsid w:val="00BE08FB"/>
    <w:rsid w:val="00BE0A8A"/>
    <w:rsid w:val="00BE14A8"/>
    <w:rsid w:val="00BE1D81"/>
    <w:rsid w:val="00BE1E79"/>
    <w:rsid w:val="00BE3AE7"/>
    <w:rsid w:val="00BE3E29"/>
    <w:rsid w:val="00BE41CC"/>
    <w:rsid w:val="00BE4AC2"/>
    <w:rsid w:val="00BE55EF"/>
    <w:rsid w:val="00BE58DE"/>
    <w:rsid w:val="00BE5A43"/>
    <w:rsid w:val="00BE626D"/>
    <w:rsid w:val="00BE650C"/>
    <w:rsid w:val="00BE6754"/>
    <w:rsid w:val="00BE6D51"/>
    <w:rsid w:val="00BE77DF"/>
    <w:rsid w:val="00BE7B7C"/>
    <w:rsid w:val="00BF0001"/>
    <w:rsid w:val="00BF0775"/>
    <w:rsid w:val="00BF0AF2"/>
    <w:rsid w:val="00BF134C"/>
    <w:rsid w:val="00BF144F"/>
    <w:rsid w:val="00BF191E"/>
    <w:rsid w:val="00BF327F"/>
    <w:rsid w:val="00BF3387"/>
    <w:rsid w:val="00BF4A33"/>
    <w:rsid w:val="00BF5310"/>
    <w:rsid w:val="00BF540E"/>
    <w:rsid w:val="00BF5F53"/>
    <w:rsid w:val="00BF641C"/>
    <w:rsid w:val="00BF795C"/>
    <w:rsid w:val="00BF797D"/>
    <w:rsid w:val="00BF7BCC"/>
    <w:rsid w:val="00C000B1"/>
    <w:rsid w:val="00C002C1"/>
    <w:rsid w:val="00C00827"/>
    <w:rsid w:val="00C00BB4"/>
    <w:rsid w:val="00C014D3"/>
    <w:rsid w:val="00C01655"/>
    <w:rsid w:val="00C019E8"/>
    <w:rsid w:val="00C02169"/>
    <w:rsid w:val="00C02793"/>
    <w:rsid w:val="00C034DB"/>
    <w:rsid w:val="00C036AE"/>
    <w:rsid w:val="00C039DE"/>
    <w:rsid w:val="00C03E4C"/>
    <w:rsid w:val="00C04011"/>
    <w:rsid w:val="00C04422"/>
    <w:rsid w:val="00C048D5"/>
    <w:rsid w:val="00C04F48"/>
    <w:rsid w:val="00C0566A"/>
    <w:rsid w:val="00C0571A"/>
    <w:rsid w:val="00C05AA3"/>
    <w:rsid w:val="00C06143"/>
    <w:rsid w:val="00C06739"/>
    <w:rsid w:val="00C07062"/>
    <w:rsid w:val="00C072AA"/>
    <w:rsid w:val="00C07D17"/>
    <w:rsid w:val="00C07EC1"/>
    <w:rsid w:val="00C101DD"/>
    <w:rsid w:val="00C10677"/>
    <w:rsid w:val="00C106C1"/>
    <w:rsid w:val="00C11103"/>
    <w:rsid w:val="00C11220"/>
    <w:rsid w:val="00C1157A"/>
    <w:rsid w:val="00C11A3E"/>
    <w:rsid w:val="00C13830"/>
    <w:rsid w:val="00C14711"/>
    <w:rsid w:val="00C15029"/>
    <w:rsid w:val="00C1508C"/>
    <w:rsid w:val="00C15181"/>
    <w:rsid w:val="00C15D1E"/>
    <w:rsid w:val="00C16CBC"/>
    <w:rsid w:val="00C17D22"/>
    <w:rsid w:val="00C205E3"/>
    <w:rsid w:val="00C20675"/>
    <w:rsid w:val="00C20B1F"/>
    <w:rsid w:val="00C20E1E"/>
    <w:rsid w:val="00C2151A"/>
    <w:rsid w:val="00C222E9"/>
    <w:rsid w:val="00C22E81"/>
    <w:rsid w:val="00C23D2A"/>
    <w:rsid w:val="00C24051"/>
    <w:rsid w:val="00C2446D"/>
    <w:rsid w:val="00C2494A"/>
    <w:rsid w:val="00C24A91"/>
    <w:rsid w:val="00C24BA6"/>
    <w:rsid w:val="00C24BFD"/>
    <w:rsid w:val="00C24C12"/>
    <w:rsid w:val="00C24CC1"/>
    <w:rsid w:val="00C24F2C"/>
    <w:rsid w:val="00C2567B"/>
    <w:rsid w:val="00C256C0"/>
    <w:rsid w:val="00C25B7D"/>
    <w:rsid w:val="00C26D2D"/>
    <w:rsid w:val="00C2760C"/>
    <w:rsid w:val="00C27DAE"/>
    <w:rsid w:val="00C27E63"/>
    <w:rsid w:val="00C30583"/>
    <w:rsid w:val="00C30A04"/>
    <w:rsid w:val="00C32A4E"/>
    <w:rsid w:val="00C32BC4"/>
    <w:rsid w:val="00C33172"/>
    <w:rsid w:val="00C33426"/>
    <w:rsid w:val="00C337DF"/>
    <w:rsid w:val="00C3452D"/>
    <w:rsid w:val="00C346F2"/>
    <w:rsid w:val="00C34B21"/>
    <w:rsid w:val="00C34F84"/>
    <w:rsid w:val="00C350C4"/>
    <w:rsid w:val="00C351F5"/>
    <w:rsid w:val="00C378B1"/>
    <w:rsid w:val="00C4005D"/>
    <w:rsid w:val="00C40795"/>
    <w:rsid w:val="00C40BBA"/>
    <w:rsid w:val="00C41108"/>
    <w:rsid w:val="00C41312"/>
    <w:rsid w:val="00C413B8"/>
    <w:rsid w:val="00C413DD"/>
    <w:rsid w:val="00C421EB"/>
    <w:rsid w:val="00C424F8"/>
    <w:rsid w:val="00C42501"/>
    <w:rsid w:val="00C42F2D"/>
    <w:rsid w:val="00C43518"/>
    <w:rsid w:val="00C43B97"/>
    <w:rsid w:val="00C440DB"/>
    <w:rsid w:val="00C449FD"/>
    <w:rsid w:val="00C44A4B"/>
    <w:rsid w:val="00C452D3"/>
    <w:rsid w:val="00C4536B"/>
    <w:rsid w:val="00C4556D"/>
    <w:rsid w:val="00C4557E"/>
    <w:rsid w:val="00C45B2D"/>
    <w:rsid w:val="00C45FA3"/>
    <w:rsid w:val="00C463D4"/>
    <w:rsid w:val="00C46721"/>
    <w:rsid w:val="00C46B15"/>
    <w:rsid w:val="00C47CD6"/>
    <w:rsid w:val="00C47D3E"/>
    <w:rsid w:val="00C5019E"/>
    <w:rsid w:val="00C50C71"/>
    <w:rsid w:val="00C50D70"/>
    <w:rsid w:val="00C516CF"/>
    <w:rsid w:val="00C51827"/>
    <w:rsid w:val="00C51CC2"/>
    <w:rsid w:val="00C52E04"/>
    <w:rsid w:val="00C532EA"/>
    <w:rsid w:val="00C536A3"/>
    <w:rsid w:val="00C54DCC"/>
    <w:rsid w:val="00C55EDA"/>
    <w:rsid w:val="00C568B2"/>
    <w:rsid w:val="00C568C1"/>
    <w:rsid w:val="00C57293"/>
    <w:rsid w:val="00C575C6"/>
    <w:rsid w:val="00C5798B"/>
    <w:rsid w:val="00C57EFA"/>
    <w:rsid w:val="00C60271"/>
    <w:rsid w:val="00C609F1"/>
    <w:rsid w:val="00C610A3"/>
    <w:rsid w:val="00C624DC"/>
    <w:rsid w:val="00C62600"/>
    <w:rsid w:val="00C628C4"/>
    <w:rsid w:val="00C62C9B"/>
    <w:rsid w:val="00C63565"/>
    <w:rsid w:val="00C6366D"/>
    <w:rsid w:val="00C6372D"/>
    <w:rsid w:val="00C6387F"/>
    <w:rsid w:val="00C63DF4"/>
    <w:rsid w:val="00C64D97"/>
    <w:rsid w:val="00C64DC8"/>
    <w:rsid w:val="00C655BC"/>
    <w:rsid w:val="00C65C69"/>
    <w:rsid w:val="00C65C7A"/>
    <w:rsid w:val="00C66335"/>
    <w:rsid w:val="00C66B3C"/>
    <w:rsid w:val="00C66DCE"/>
    <w:rsid w:val="00C672AE"/>
    <w:rsid w:val="00C674EE"/>
    <w:rsid w:val="00C67C66"/>
    <w:rsid w:val="00C703D4"/>
    <w:rsid w:val="00C70973"/>
    <w:rsid w:val="00C70B2F"/>
    <w:rsid w:val="00C71594"/>
    <w:rsid w:val="00C7177B"/>
    <w:rsid w:val="00C717AC"/>
    <w:rsid w:val="00C7181A"/>
    <w:rsid w:val="00C71865"/>
    <w:rsid w:val="00C7281A"/>
    <w:rsid w:val="00C728A4"/>
    <w:rsid w:val="00C7297E"/>
    <w:rsid w:val="00C739DB"/>
    <w:rsid w:val="00C73A92"/>
    <w:rsid w:val="00C73DC3"/>
    <w:rsid w:val="00C74574"/>
    <w:rsid w:val="00C74C9D"/>
    <w:rsid w:val="00C75E1D"/>
    <w:rsid w:val="00C76782"/>
    <w:rsid w:val="00C76920"/>
    <w:rsid w:val="00C80019"/>
    <w:rsid w:val="00C800C2"/>
    <w:rsid w:val="00C8082D"/>
    <w:rsid w:val="00C81200"/>
    <w:rsid w:val="00C82434"/>
    <w:rsid w:val="00C83187"/>
    <w:rsid w:val="00C836ED"/>
    <w:rsid w:val="00C8424C"/>
    <w:rsid w:val="00C8444B"/>
    <w:rsid w:val="00C84730"/>
    <w:rsid w:val="00C84A12"/>
    <w:rsid w:val="00C857BC"/>
    <w:rsid w:val="00C85814"/>
    <w:rsid w:val="00C85E2B"/>
    <w:rsid w:val="00C85E79"/>
    <w:rsid w:val="00C87500"/>
    <w:rsid w:val="00C901BA"/>
    <w:rsid w:val="00C909E6"/>
    <w:rsid w:val="00C910AE"/>
    <w:rsid w:val="00C913C7"/>
    <w:rsid w:val="00C91823"/>
    <w:rsid w:val="00C919E8"/>
    <w:rsid w:val="00C91C35"/>
    <w:rsid w:val="00C91E20"/>
    <w:rsid w:val="00C93344"/>
    <w:rsid w:val="00C93F3F"/>
    <w:rsid w:val="00C95336"/>
    <w:rsid w:val="00C958E9"/>
    <w:rsid w:val="00C95AB6"/>
    <w:rsid w:val="00C95DA2"/>
    <w:rsid w:val="00C9606C"/>
    <w:rsid w:val="00C97069"/>
    <w:rsid w:val="00C97F1F"/>
    <w:rsid w:val="00CA0E92"/>
    <w:rsid w:val="00CA1100"/>
    <w:rsid w:val="00CA151B"/>
    <w:rsid w:val="00CA156F"/>
    <w:rsid w:val="00CA187B"/>
    <w:rsid w:val="00CA28F6"/>
    <w:rsid w:val="00CA35B0"/>
    <w:rsid w:val="00CA36D2"/>
    <w:rsid w:val="00CA4C1D"/>
    <w:rsid w:val="00CA4DB5"/>
    <w:rsid w:val="00CA4DF8"/>
    <w:rsid w:val="00CA56EF"/>
    <w:rsid w:val="00CA6174"/>
    <w:rsid w:val="00CA620E"/>
    <w:rsid w:val="00CA6EB1"/>
    <w:rsid w:val="00CA7BB2"/>
    <w:rsid w:val="00CA7C59"/>
    <w:rsid w:val="00CA7E1F"/>
    <w:rsid w:val="00CB0F18"/>
    <w:rsid w:val="00CB1ECE"/>
    <w:rsid w:val="00CB2AF6"/>
    <w:rsid w:val="00CB2DFB"/>
    <w:rsid w:val="00CB2FDE"/>
    <w:rsid w:val="00CB31A4"/>
    <w:rsid w:val="00CB430C"/>
    <w:rsid w:val="00CB50B7"/>
    <w:rsid w:val="00CB5133"/>
    <w:rsid w:val="00CB533F"/>
    <w:rsid w:val="00CB5B41"/>
    <w:rsid w:val="00CB5BF9"/>
    <w:rsid w:val="00CB7858"/>
    <w:rsid w:val="00CB7BF1"/>
    <w:rsid w:val="00CB7C71"/>
    <w:rsid w:val="00CC09FA"/>
    <w:rsid w:val="00CC1162"/>
    <w:rsid w:val="00CC16E8"/>
    <w:rsid w:val="00CC1EAA"/>
    <w:rsid w:val="00CC205C"/>
    <w:rsid w:val="00CC2D6E"/>
    <w:rsid w:val="00CC2EF6"/>
    <w:rsid w:val="00CC3433"/>
    <w:rsid w:val="00CC4A08"/>
    <w:rsid w:val="00CC4FE0"/>
    <w:rsid w:val="00CC5CAA"/>
    <w:rsid w:val="00CC6024"/>
    <w:rsid w:val="00CC6445"/>
    <w:rsid w:val="00CC6560"/>
    <w:rsid w:val="00CC6B6D"/>
    <w:rsid w:val="00CC7209"/>
    <w:rsid w:val="00CD0298"/>
    <w:rsid w:val="00CD07EE"/>
    <w:rsid w:val="00CD082A"/>
    <w:rsid w:val="00CD0BBF"/>
    <w:rsid w:val="00CD11AF"/>
    <w:rsid w:val="00CD123B"/>
    <w:rsid w:val="00CD135B"/>
    <w:rsid w:val="00CD15BB"/>
    <w:rsid w:val="00CD1B4C"/>
    <w:rsid w:val="00CD2208"/>
    <w:rsid w:val="00CD233B"/>
    <w:rsid w:val="00CD2ADB"/>
    <w:rsid w:val="00CD354D"/>
    <w:rsid w:val="00CD41AD"/>
    <w:rsid w:val="00CD5565"/>
    <w:rsid w:val="00CD613E"/>
    <w:rsid w:val="00CD6492"/>
    <w:rsid w:val="00CD7337"/>
    <w:rsid w:val="00CD73D0"/>
    <w:rsid w:val="00CD7669"/>
    <w:rsid w:val="00CDB65D"/>
    <w:rsid w:val="00CE1290"/>
    <w:rsid w:val="00CE16EF"/>
    <w:rsid w:val="00CE1A95"/>
    <w:rsid w:val="00CE3A7C"/>
    <w:rsid w:val="00CE3BB0"/>
    <w:rsid w:val="00CE3EE5"/>
    <w:rsid w:val="00CE466C"/>
    <w:rsid w:val="00CE4FB6"/>
    <w:rsid w:val="00CE500E"/>
    <w:rsid w:val="00CE5284"/>
    <w:rsid w:val="00CE616B"/>
    <w:rsid w:val="00CE6400"/>
    <w:rsid w:val="00CE7A32"/>
    <w:rsid w:val="00CF01DB"/>
    <w:rsid w:val="00CF080C"/>
    <w:rsid w:val="00CF17DF"/>
    <w:rsid w:val="00CF1CC6"/>
    <w:rsid w:val="00CF1D51"/>
    <w:rsid w:val="00CF1FC8"/>
    <w:rsid w:val="00CF21F4"/>
    <w:rsid w:val="00CF2553"/>
    <w:rsid w:val="00CF315C"/>
    <w:rsid w:val="00CF34F6"/>
    <w:rsid w:val="00CF602E"/>
    <w:rsid w:val="00CF60A3"/>
    <w:rsid w:val="00CF68CE"/>
    <w:rsid w:val="00CF6DA8"/>
    <w:rsid w:val="00CF79FC"/>
    <w:rsid w:val="00CF7D53"/>
    <w:rsid w:val="00CF7F36"/>
    <w:rsid w:val="00D008AB"/>
    <w:rsid w:val="00D0149C"/>
    <w:rsid w:val="00D02293"/>
    <w:rsid w:val="00D02C09"/>
    <w:rsid w:val="00D0304E"/>
    <w:rsid w:val="00D0321D"/>
    <w:rsid w:val="00D04DDA"/>
    <w:rsid w:val="00D04FCA"/>
    <w:rsid w:val="00D0653C"/>
    <w:rsid w:val="00D072ED"/>
    <w:rsid w:val="00D07705"/>
    <w:rsid w:val="00D07E3E"/>
    <w:rsid w:val="00D103BA"/>
    <w:rsid w:val="00D10688"/>
    <w:rsid w:val="00D10D3D"/>
    <w:rsid w:val="00D111F0"/>
    <w:rsid w:val="00D115BA"/>
    <w:rsid w:val="00D11D0D"/>
    <w:rsid w:val="00D11F22"/>
    <w:rsid w:val="00D11F6C"/>
    <w:rsid w:val="00D11F91"/>
    <w:rsid w:val="00D12693"/>
    <w:rsid w:val="00D13779"/>
    <w:rsid w:val="00D14AC0"/>
    <w:rsid w:val="00D179D2"/>
    <w:rsid w:val="00D203DE"/>
    <w:rsid w:val="00D20EFC"/>
    <w:rsid w:val="00D22810"/>
    <w:rsid w:val="00D237A6"/>
    <w:rsid w:val="00D24671"/>
    <w:rsid w:val="00D247E9"/>
    <w:rsid w:val="00D24EDC"/>
    <w:rsid w:val="00D25059"/>
    <w:rsid w:val="00D25293"/>
    <w:rsid w:val="00D2536C"/>
    <w:rsid w:val="00D255FD"/>
    <w:rsid w:val="00D257E6"/>
    <w:rsid w:val="00D26125"/>
    <w:rsid w:val="00D26161"/>
    <w:rsid w:val="00D261E9"/>
    <w:rsid w:val="00D26202"/>
    <w:rsid w:val="00D26448"/>
    <w:rsid w:val="00D2685B"/>
    <w:rsid w:val="00D26E27"/>
    <w:rsid w:val="00D27570"/>
    <w:rsid w:val="00D27762"/>
    <w:rsid w:val="00D27B2A"/>
    <w:rsid w:val="00D3012D"/>
    <w:rsid w:val="00D30201"/>
    <w:rsid w:val="00D30BAC"/>
    <w:rsid w:val="00D30C01"/>
    <w:rsid w:val="00D30FAC"/>
    <w:rsid w:val="00D31F19"/>
    <w:rsid w:val="00D32D4E"/>
    <w:rsid w:val="00D3306E"/>
    <w:rsid w:val="00D3498A"/>
    <w:rsid w:val="00D34BEC"/>
    <w:rsid w:val="00D34FDE"/>
    <w:rsid w:val="00D3513B"/>
    <w:rsid w:val="00D35792"/>
    <w:rsid w:val="00D359E1"/>
    <w:rsid w:val="00D35A7B"/>
    <w:rsid w:val="00D35D3E"/>
    <w:rsid w:val="00D3630D"/>
    <w:rsid w:val="00D36A43"/>
    <w:rsid w:val="00D37A3F"/>
    <w:rsid w:val="00D37AF0"/>
    <w:rsid w:val="00D4008F"/>
    <w:rsid w:val="00D404B2"/>
    <w:rsid w:val="00D40F55"/>
    <w:rsid w:val="00D4111E"/>
    <w:rsid w:val="00D412A3"/>
    <w:rsid w:val="00D4243C"/>
    <w:rsid w:val="00D44062"/>
    <w:rsid w:val="00D441EF"/>
    <w:rsid w:val="00D4598B"/>
    <w:rsid w:val="00D4609F"/>
    <w:rsid w:val="00D46746"/>
    <w:rsid w:val="00D473E5"/>
    <w:rsid w:val="00D47614"/>
    <w:rsid w:val="00D47C36"/>
    <w:rsid w:val="00D47F96"/>
    <w:rsid w:val="00D502E7"/>
    <w:rsid w:val="00D505AF"/>
    <w:rsid w:val="00D5060E"/>
    <w:rsid w:val="00D51150"/>
    <w:rsid w:val="00D51969"/>
    <w:rsid w:val="00D51EC9"/>
    <w:rsid w:val="00D51F63"/>
    <w:rsid w:val="00D5220A"/>
    <w:rsid w:val="00D55387"/>
    <w:rsid w:val="00D55D07"/>
    <w:rsid w:val="00D562F0"/>
    <w:rsid w:val="00D56AD5"/>
    <w:rsid w:val="00D574CF"/>
    <w:rsid w:val="00D57691"/>
    <w:rsid w:val="00D57CFD"/>
    <w:rsid w:val="00D57EBB"/>
    <w:rsid w:val="00D61FC0"/>
    <w:rsid w:val="00D621F6"/>
    <w:rsid w:val="00D622C2"/>
    <w:rsid w:val="00D62511"/>
    <w:rsid w:val="00D628DF"/>
    <w:rsid w:val="00D6379B"/>
    <w:rsid w:val="00D63ABE"/>
    <w:rsid w:val="00D64906"/>
    <w:rsid w:val="00D65430"/>
    <w:rsid w:val="00D659A5"/>
    <w:rsid w:val="00D65DF8"/>
    <w:rsid w:val="00D65FF8"/>
    <w:rsid w:val="00D66C9F"/>
    <w:rsid w:val="00D70ABB"/>
    <w:rsid w:val="00D70EA7"/>
    <w:rsid w:val="00D71174"/>
    <w:rsid w:val="00D711EA"/>
    <w:rsid w:val="00D71347"/>
    <w:rsid w:val="00D71377"/>
    <w:rsid w:val="00D7177B"/>
    <w:rsid w:val="00D72AF0"/>
    <w:rsid w:val="00D72D0F"/>
    <w:rsid w:val="00D72E97"/>
    <w:rsid w:val="00D738FB"/>
    <w:rsid w:val="00D73A9B"/>
    <w:rsid w:val="00D73B7F"/>
    <w:rsid w:val="00D74E40"/>
    <w:rsid w:val="00D7547E"/>
    <w:rsid w:val="00D75A66"/>
    <w:rsid w:val="00D75BB7"/>
    <w:rsid w:val="00D75ED3"/>
    <w:rsid w:val="00D767B3"/>
    <w:rsid w:val="00D769D6"/>
    <w:rsid w:val="00D77582"/>
    <w:rsid w:val="00D77653"/>
    <w:rsid w:val="00D811F3"/>
    <w:rsid w:val="00D819F4"/>
    <w:rsid w:val="00D820B0"/>
    <w:rsid w:val="00D82B63"/>
    <w:rsid w:val="00D83B84"/>
    <w:rsid w:val="00D840D4"/>
    <w:rsid w:val="00D84832"/>
    <w:rsid w:val="00D84C9C"/>
    <w:rsid w:val="00D84F21"/>
    <w:rsid w:val="00D84FF7"/>
    <w:rsid w:val="00D8552F"/>
    <w:rsid w:val="00D859F9"/>
    <w:rsid w:val="00D85DEC"/>
    <w:rsid w:val="00D8624C"/>
    <w:rsid w:val="00D8669B"/>
    <w:rsid w:val="00D86B05"/>
    <w:rsid w:val="00D86BBD"/>
    <w:rsid w:val="00D871F0"/>
    <w:rsid w:val="00D90603"/>
    <w:rsid w:val="00D909DA"/>
    <w:rsid w:val="00D90EED"/>
    <w:rsid w:val="00D911E8"/>
    <w:rsid w:val="00D92BFA"/>
    <w:rsid w:val="00D92EE3"/>
    <w:rsid w:val="00D93020"/>
    <w:rsid w:val="00D930D1"/>
    <w:rsid w:val="00D9361C"/>
    <w:rsid w:val="00D93A40"/>
    <w:rsid w:val="00D955B1"/>
    <w:rsid w:val="00D95774"/>
    <w:rsid w:val="00D95C61"/>
    <w:rsid w:val="00D95CAF"/>
    <w:rsid w:val="00D96168"/>
    <w:rsid w:val="00D96205"/>
    <w:rsid w:val="00D96566"/>
    <w:rsid w:val="00D96FB9"/>
    <w:rsid w:val="00D97228"/>
    <w:rsid w:val="00D9788A"/>
    <w:rsid w:val="00D978E8"/>
    <w:rsid w:val="00DA0035"/>
    <w:rsid w:val="00DA026E"/>
    <w:rsid w:val="00DA03E2"/>
    <w:rsid w:val="00DA0433"/>
    <w:rsid w:val="00DA0CF2"/>
    <w:rsid w:val="00DA140E"/>
    <w:rsid w:val="00DA1A94"/>
    <w:rsid w:val="00DA1F0B"/>
    <w:rsid w:val="00DA2C55"/>
    <w:rsid w:val="00DA34EB"/>
    <w:rsid w:val="00DA52C3"/>
    <w:rsid w:val="00DA537B"/>
    <w:rsid w:val="00DA5D13"/>
    <w:rsid w:val="00DA5E8B"/>
    <w:rsid w:val="00DA63FC"/>
    <w:rsid w:val="00DA707D"/>
    <w:rsid w:val="00DB1C68"/>
    <w:rsid w:val="00DB3909"/>
    <w:rsid w:val="00DB3A19"/>
    <w:rsid w:val="00DB3A33"/>
    <w:rsid w:val="00DB3D0E"/>
    <w:rsid w:val="00DB4405"/>
    <w:rsid w:val="00DB4823"/>
    <w:rsid w:val="00DB4FA3"/>
    <w:rsid w:val="00DB5E65"/>
    <w:rsid w:val="00DB6188"/>
    <w:rsid w:val="00DB6295"/>
    <w:rsid w:val="00DB6861"/>
    <w:rsid w:val="00DB6919"/>
    <w:rsid w:val="00DB6D5D"/>
    <w:rsid w:val="00DB735A"/>
    <w:rsid w:val="00DB798D"/>
    <w:rsid w:val="00DB7A33"/>
    <w:rsid w:val="00DB7E74"/>
    <w:rsid w:val="00DB7EE4"/>
    <w:rsid w:val="00DC00B3"/>
    <w:rsid w:val="00DC0958"/>
    <w:rsid w:val="00DC12D6"/>
    <w:rsid w:val="00DC1817"/>
    <w:rsid w:val="00DC1EF9"/>
    <w:rsid w:val="00DC2CE4"/>
    <w:rsid w:val="00DC2CE8"/>
    <w:rsid w:val="00DC44A8"/>
    <w:rsid w:val="00DC5776"/>
    <w:rsid w:val="00DC60DB"/>
    <w:rsid w:val="00DC6580"/>
    <w:rsid w:val="00DC74A8"/>
    <w:rsid w:val="00DC76BD"/>
    <w:rsid w:val="00DC7C9A"/>
    <w:rsid w:val="00DD1865"/>
    <w:rsid w:val="00DD2E6A"/>
    <w:rsid w:val="00DD3458"/>
    <w:rsid w:val="00DD3CD6"/>
    <w:rsid w:val="00DD3FE2"/>
    <w:rsid w:val="00DD4506"/>
    <w:rsid w:val="00DD4CF2"/>
    <w:rsid w:val="00DD518F"/>
    <w:rsid w:val="00DD5613"/>
    <w:rsid w:val="00DD63C1"/>
    <w:rsid w:val="00DD66AB"/>
    <w:rsid w:val="00DD6CA2"/>
    <w:rsid w:val="00DD6D45"/>
    <w:rsid w:val="00DD7879"/>
    <w:rsid w:val="00DD7CF0"/>
    <w:rsid w:val="00DE02B4"/>
    <w:rsid w:val="00DE0C7D"/>
    <w:rsid w:val="00DE2033"/>
    <w:rsid w:val="00DE2442"/>
    <w:rsid w:val="00DE28E0"/>
    <w:rsid w:val="00DE3A7B"/>
    <w:rsid w:val="00DE4C6E"/>
    <w:rsid w:val="00DE56F0"/>
    <w:rsid w:val="00DE594C"/>
    <w:rsid w:val="00DE65F6"/>
    <w:rsid w:val="00DE6EFA"/>
    <w:rsid w:val="00DE75BC"/>
    <w:rsid w:val="00DF19A0"/>
    <w:rsid w:val="00DF1D7E"/>
    <w:rsid w:val="00DF2221"/>
    <w:rsid w:val="00DF251D"/>
    <w:rsid w:val="00DF2712"/>
    <w:rsid w:val="00DF295A"/>
    <w:rsid w:val="00DF3188"/>
    <w:rsid w:val="00DF3392"/>
    <w:rsid w:val="00DF3672"/>
    <w:rsid w:val="00DF3EA1"/>
    <w:rsid w:val="00DF3FEA"/>
    <w:rsid w:val="00DF4838"/>
    <w:rsid w:val="00DF4927"/>
    <w:rsid w:val="00DF585F"/>
    <w:rsid w:val="00DF5C8C"/>
    <w:rsid w:val="00DF5D70"/>
    <w:rsid w:val="00DF5E84"/>
    <w:rsid w:val="00DF6082"/>
    <w:rsid w:val="00DF6C75"/>
    <w:rsid w:val="00DF6E01"/>
    <w:rsid w:val="00DF6E48"/>
    <w:rsid w:val="00DF7AE4"/>
    <w:rsid w:val="00DF7AF0"/>
    <w:rsid w:val="00E00BB2"/>
    <w:rsid w:val="00E01087"/>
    <w:rsid w:val="00E01883"/>
    <w:rsid w:val="00E019B2"/>
    <w:rsid w:val="00E01C77"/>
    <w:rsid w:val="00E02407"/>
    <w:rsid w:val="00E0249A"/>
    <w:rsid w:val="00E032CD"/>
    <w:rsid w:val="00E03306"/>
    <w:rsid w:val="00E034B2"/>
    <w:rsid w:val="00E04414"/>
    <w:rsid w:val="00E04439"/>
    <w:rsid w:val="00E0460C"/>
    <w:rsid w:val="00E050FF"/>
    <w:rsid w:val="00E052C3"/>
    <w:rsid w:val="00E0549F"/>
    <w:rsid w:val="00E05952"/>
    <w:rsid w:val="00E0612F"/>
    <w:rsid w:val="00E06FC2"/>
    <w:rsid w:val="00E07391"/>
    <w:rsid w:val="00E10821"/>
    <w:rsid w:val="00E10937"/>
    <w:rsid w:val="00E11F28"/>
    <w:rsid w:val="00E11F86"/>
    <w:rsid w:val="00E12102"/>
    <w:rsid w:val="00E1260B"/>
    <w:rsid w:val="00E126F3"/>
    <w:rsid w:val="00E12788"/>
    <w:rsid w:val="00E12985"/>
    <w:rsid w:val="00E1310B"/>
    <w:rsid w:val="00E1377B"/>
    <w:rsid w:val="00E13784"/>
    <w:rsid w:val="00E13F59"/>
    <w:rsid w:val="00E1431E"/>
    <w:rsid w:val="00E14755"/>
    <w:rsid w:val="00E14AFC"/>
    <w:rsid w:val="00E14B1B"/>
    <w:rsid w:val="00E14CDF"/>
    <w:rsid w:val="00E15512"/>
    <w:rsid w:val="00E156CD"/>
    <w:rsid w:val="00E159C8"/>
    <w:rsid w:val="00E16000"/>
    <w:rsid w:val="00E16C2B"/>
    <w:rsid w:val="00E20D79"/>
    <w:rsid w:val="00E21358"/>
    <w:rsid w:val="00E215F6"/>
    <w:rsid w:val="00E21E48"/>
    <w:rsid w:val="00E22329"/>
    <w:rsid w:val="00E229E7"/>
    <w:rsid w:val="00E22F3C"/>
    <w:rsid w:val="00E23B85"/>
    <w:rsid w:val="00E243DA"/>
    <w:rsid w:val="00E25379"/>
    <w:rsid w:val="00E2540F"/>
    <w:rsid w:val="00E25FAB"/>
    <w:rsid w:val="00E26CF3"/>
    <w:rsid w:val="00E26F12"/>
    <w:rsid w:val="00E27212"/>
    <w:rsid w:val="00E273BB"/>
    <w:rsid w:val="00E274A2"/>
    <w:rsid w:val="00E27520"/>
    <w:rsid w:val="00E27C31"/>
    <w:rsid w:val="00E30215"/>
    <w:rsid w:val="00E3038A"/>
    <w:rsid w:val="00E3047F"/>
    <w:rsid w:val="00E311F2"/>
    <w:rsid w:val="00E31828"/>
    <w:rsid w:val="00E31BD3"/>
    <w:rsid w:val="00E32D9D"/>
    <w:rsid w:val="00E333A0"/>
    <w:rsid w:val="00E3348C"/>
    <w:rsid w:val="00E33E33"/>
    <w:rsid w:val="00E345A5"/>
    <w:rsid w:val="00E3493D"/>
    <w:rsid w:val="00E34D7E"/>
    <w:rsid w:val="00E358B1"/>
    <w:rsid w:val="00E360E4"/>
    <w:rsid w:val="00E36BDE"/>
    <w:rsid w:val="00E37B9B"/>
    <w:rsid w:val="00E37E01"/>
    <w:rsid w:val="00E40DC0"/>
    <w:rsid w:val="00E4119F"/>
    <w:rsid w:val="00E41313"/>
    <w:rsid w:val="00E418FC"/>
    <w:rsid w:val="00E419DA"/>
    <w:rsid w:val="00E41DBB"/>
    <w:rsid w:val="00E423CC"/>
    <w:rsid w:val="00E42561"/>
    <w:rsid w:val="00E42A30"/>
    <w:rsid w:val="00E432F7"/>
    <w:rsid w:val="00E43CCC"/>
    <w:rsid w:val="00E43EB0"/>
    <w:rsid w:val="00E441E7"/>
    <w:rsid w:val="00E44590"/>
    <w:rsid w:val="00E44EB1"/>
    <w:rsid w:val="00E44F92"/>
    <w:rsid w:val="00E4500F"/>
    <w:rsid w:val="00E45081"/>
    <w:rsid w:val="00E455DC"/>
    <w:rsid w:val="00E46734"/>
    <w:rsid w:val="00E46B14"/>
    <w:rsid w:val="00E470CA"/>
    <w:rsid w:val="00E473CE"/>
    <w:rsid w:val="00E47998"/>
    <w:rsid w:val="00E5036D"/>
    <w:rsid w:val="00E504BF"/>
    <w:rsid w:val="00E504DB"/>
    <w:rsid w:val="00E512F8"/>
    <w:rsid w:val="00E51889"/>
    <w:rsid w:val="00E5195A"/>
    <w:rsid w:val="00E51AC2"/>
    <w:rsid w:val="00E51FFC"/>
    <w:rsid w:val="00E52153"/>
    <w:rsid w:val="00E523FC"/>
    <w:rsid w:val="00E52869"/>
    <w:rsid w:val="00E5296C"/>
    <w:rsid w:val="00E5297A"/>
    <w:rsid w:val="00E52EB1"/>
    <w:rsid w:val="00E53219"/>
    <w:rsid w:val="00E5334E"/>
    <w:rsid w:val="00E5408C"/>
    <w:rsid w:val="00E546A0"/>
    <w:rsid w:val="00E5470C"/>
    <w:rsid w:val="00E54BD9"/>
    <w:rsid w:val="00E551CB"/>
    <w:rsid w:val="00E55477"/>
    <w:rsid w:val="00E557FA"/>
    <w:rsid w:val="00E5691D"/>
    <w:rsid w:val="00E56B3C"/>
    <w:rsid w:val="00E571AD"/>
    <w:rsid w:val="00E578F1"/>
    <w:rsid w:val="00E6025D"/>
    <w:rsid w:val="00E61AD0"/>
    <w:rsid w:val="00E6287A"/>
    <w:rsid w:val="00E636FE"/>
    <w:rsid w:val="00E64268"/>
    <w:rsid w:val="00E6453F"/>
    <w:rsid w:val="00E64E72"/>
    <w:rsid w:val="00E6582F"/>
    <w:rsid w:val="00E658AD"/>
    <w:rsid w:val="00E65BD1"/>
    <w:rsid w:val="00E66CE4"/>
    <w:rsid w:val="00E66EF0"/>
    <w:rsid w:val="00E67460"/>
    <w:rsid w:val="00E67BDE"/>
    <w:rsid w:val="00E7041D"/>
    <w:rsid w:val="00E70802"/>
    <w:rsid w:val="00E712DC"/>
    <w:rsid w:val="00E7137A"/>
    <w:rsid w:val="00E71D58"/>
    <w:rsid w:val="00E71E2B"/>
    <w:rsid w:val="00E723C8"/>
    <w:rsid w:val="00E72619"/>
    <w:rsid w:val="00E7308A"/>
    <w:rsid w:val="00E73531"/>
    <w:rsid w:val="00E739F5"/>
    <w:rsid w:val="00E7415E"/>
    <w:rsid w:val="00E74843"/>
    <w:rsid w:val="00E74DE9"/>
    <w:rsid w:val="00E75102"/>
    <w:rsid w:val="00E77BDC"/>
    <w:rsid w:val="00E806AC"/>
    <w:rsid w:val="00E80DDD"/>
    <w:rsid w:val="00E80DE5"/>
    <w:rsid w:val="00E81296"/>
    <w:rsid w:val="00E812BE"/>
    <w:rsid w:val="00E8185A"/>
    <w:rsid w:val="00E82534"/>
    <w:rsid w:val="00E83483"/>
    <w:rsid w:val="00E83533"/>
    <w:rsid w:val="00E83DE9"/>
    <w:rsid w:val="00E84029"/>
    <w:rsid w:val="00E845FD"/>
    <w:rsid w:val="00E84649"/>
    <w:rsid w:val="00E84E0B"/>
    <w:rsid w:val="00E8557C"/>
    <w:rsid w:val="00E85A03"/>
    <w:rsid w:val="00E85C9F"/>
    <w:rsid w:val="00E85EC7"/>
    <w:rsid w:val="00E86C3A"/>
    <w:rsid w:val="00E870C4"/>
    <w:rsid w:val="00E87592"/>
    <w:rsid w:val="00E90F9D"/>
    <w:rsid w:val="00E9134E"/>
    <w:rsid w:val="00E91CD6"/>
    <w:rsid w:val="00E93065"/>
    <w:rsid w:val="00E93943"/>
    <w:rsid w:val="00E94044"/>
    <w:rsid w:val="00E94D11"/>
    <w:rsid w:val="00E953E6"/>
    <w:rsid w:val="00E95637"/>
    <w:rsid w:val="00E9732B"/>
    <w:rsid w:val="00EA0483"/>
    <w:rsid w:val="00EA0B5A"/>
    <w:rsid w:val="00EA17CC"/>
    <w:rsid w:val="00EA19B7"/>
    <w:rsid w:val="00EA1FCD"/>
    <w:rsid w:val="00EA2C70"/>
    <w:rsid w:val="00EA3161"/>
    <w:rsid w:val="00EA343C"/>
    <w:rsid w:val="00EA3D14"/>
    <w:rsid w:val="00EA3D43"/>
    <w:rsid w:val="00EA3F50"/>
    <w:rsid w:val="00EA500C"/>
    <w:rsid w:val="00EA5317"/>
    <w:rsid w:val="00EA5965"/>
    <w:rsid w:val="00EA6EED"/>
    <w:rsid w:val="00EA6FF6"/>
    <w:rsid w:val="00EA71B6"/>
    <w:rsid w:val="00EB0251"/>
    <w:rsid w:val="00EB09B3"/>
    <w:rsid w:val="00EB2607"/>
    <w:rsid w:val="00EB2B33"/>
    <w:rsid w:val="00EB2C95"/>
    <w:rsid w:val="00EB35EF"/>
    <w:rsid w:val="00EB3DF3"/>
    <w:rsid w:val="00EB4520"/>
    <w:rsid w:val="00EB469F"/>
    <w:rsid w:val="00EB5B46"/>
    <w:rsid w:val="00EB5D13"/>
    <w:rsid w:val="00EB5EFA"/>
    <w:rsid w:val="00EB678F"/>
    <w:rsid w:val="00EB67FC"/>
    <w:rsid w:val="00EB77DD"/>
    <w:rsid w:val="00EB7ED7"/>
    <w:rsid w:val="00EC0933"/>
    <w:rsid w:val="00EC0A8D"/>
    <w:rsid w:val="00EC0D86"/>
    <w:rsid w:val="00EC16A9"/>
    <w:rsid w:val="00EC2BB7"/>
    <w:rsid w:val="00EC2C92"/>
    <w:rsid w:val="00EC3197"/>
    <w:rsid w:val="00EC324B"/>
    <w:rsid w:val="00EC3330"/>
    <w:rsid w:val="00EC4BDC"/>
    <w:rsid w:val="00EC4F7D"/>
    <w:rsid w:val="00EC5094"/>
    <w:rsid w:val="00EC5401"/>
    <w:rsid w:val="00EC57DC"/>
    <w:rsid w:val="00EC61CA"/>
    <w:rsid w:val="00EC6D70"/>
    <w:rsid w:val="00EC6EC4"/>
    <w:rsid w:val="00EC7150"/>
    <w:rsid w:val="00EC76F5"/>
    <w:rsid w:val="00EC77D9"/>
    <w:rsid w:val="00EC784A"/>
    <w:rsid w:val="00EC7885"/>
    <w:rsid w:val="00EC7B14"/>
    <w:rsid w:val="00EC7F55"/>
    <w:rsid w:val="00ED23F3"/>
    <w:rsid w:val="00ED34A4"/>
    <w:rsid w:val="00ED356C"/>
    <w:rsid w:val="00ED3FF5"/>
    <w:rsid w:val="00ED44E8"/>
    <w:rsid w:val="00ED5DC0"/>
    <w:rsid w:val="00ED5E9B"/>
    <w:rsid w:val="00ED6389"/>
    <w:rsid w:val="00ED6A66"/>
    <w:rsid w:val="00ED7280"/>
    <w:rsid w:val="00ED7471"/>
    <w:rsid w:val="00ED74A4"/>
    <w:rsid w:val="00ED76B7"/>
    <w:rsid w:val="00ED786D"/>
    <w:rsid w:val="00ED7FDA"/>
    <w:rsid w:val="00EE02C8"/>
    <w:rsid w:val="00EE06B6"/>
    <w:rsid w:val="00EE13E8"/>
    <w:rsid w:val="00EE1589"/>
    <w:rsid w:val="00EE2D18"/>
    <w:rsid w:val="00EE2E59"/>
    <w:rsid w:val="00EE3DC7"/>
    <w:rsid w:val="00EE56C4"/>
    <w:rsid w:val="00EE574D"/>
    <w:rsid w:val="00EE66DA"/>
    <w:rsid w:val="00EE6B4A"/>
    <w:rsid w:val="00EE6FB5"/>
    <w:rsid w:val="00EE7207"/>
    <w:rsid w:val="00EE7347"/>
    <w:rsid w:val="00EF0F72"/>
    <w:rsid w:val="00EF1C8F"/>
    <w:rsid w:val="00EF1F8B"/>
    <w:rsid w:val="00EF42B7"/>
    <w:rsid w:val="00EF4721"/>
    <w:rsid w:val="00EF5783"/>
    <w:rsid w:val="00EF604A"/>
    <w:rsid w:val="00EF632F"/>
    <w:rsid w:val="00EF652B"/>
    <w:rsid w:val="00EF6E03"/>
    <w:rsid w:val="00EF7EC5"/>
    <w:rsid w:val="00EF7FED"/>
    <w:rsid w:val="00F00AD1"/>
    <w:rsid w:val="00F015F7"/>
    <w:rsid w:val="00F022E9"/>
    <w:rsid w:val="00F025D8"/>
    <w:rsid w:val="00F02637"/>
    <w:rsid w:val="00F02958"/>
    <w:rsid w:val="00F029F5"/>
    <w:rsid w:val="00F03A2A"/>
    <w:rsid w:val="00F04330"/>
    <w:rsid w:val="00F0452B"/>
    <w:rsid w:val="00F04E5B"/>
    <w:rsid w:val="00F05D23"/>
    <w:rsid w:val="00F0647D"/>
    <w:rsid w:val="00F06ADE"/>
    <w:rsid w:val="00F06F33"/>
    <w:rsid w:val="00F07335"/>
    <w:rsid w:val="00F11389"/>
    <w:rsid w:val="00F129B3"/>
    <w:rsid w:val="00F12D60"/>
    <w:rsid w:val="00F134DA"/>
    <w:rsid w:val="00F13E96"/>
    <w:rsid w:val="00F1456E"/>
    <w:rsid w:val="00F15322"/>
    <w:rsid w:val="00F15625"/>
    <w:rsid w:val="00F158EF"/>
    <w:rsid w:val="00F1665F"/>
    <w:rsid w:val="00F16701"/>
    <w:rsid w:val="00F167F8"/>
    <w:rsid w:val="00F169AB"/>
    <w:rsid w:val="00F16F11"/>
    <w:rsid w:val="00F17400"/>
    <w:rsid w:val="00F17C5E"/>
    <w:rsid w:val="00F17E25"/>
    <w:rsid w:val="00F2067C"/>
    <w:rsid w:val="00F21062"/>
    <w:rsid w:val="00F21063"/>
    <w:rsid w:val="00F21130"/>
    <w:rsid w:val="00F211FA"/>
    <w:rsid w:val="00F21439"/>
    <w:rsid w:val="00F2293E"/>
    <w:rsid w:val="00F2319A"/>
    <w:rsid w:val="00F23745"/>
    <w:rsid w:val="00F26C35"/>
    <w:rsid w:val="00F26F5B"/>
    <w:rsid w:val="00F275A8"/>
    <w:rsid w:val="00F27AAA"/>
    <w:rsid w:val="00F27CD1"/>
    <w:rsid w:val="00F27DD3"/>
    <w:rsid w:val="00F3009F"/>
    <w:rsid w:val="00F300A8"/>
    <w:rsid w:val="00F307B1"/>
    <w:rsid w:val="00F30A4B"/>
    <w:rsid w:val="00F30EC0"/>
    <w:rsid w:val="00F31968"/>
    <w:rsid w:val="00F31E41"/>
    <w:rsid w:val="00F32637"/>
    <w:rsid w:val="00F32840"/>
    <w:rsid w:val="00F329FD"/>
    <w:rsid w:val="00F32A32"/>
    <w:rsid w:val="00F32BAA"/>
    <w:rsid w:val="00F34005"/>
    <w:rsid w:val="00F34683"/>
    <w:rsid w:val="00F34998"/>
    <w:rsid w:val="00F36499"/>
    <w:rsid w:val="00F37B32"/>
    <w:rsid w:val="00F37D97"/>
    <w:rsid w:val="00F37F6E"/>
    <w:rsid w:val="00F40A53"/>
    <w:rsid w:val="00F4157B"/>
    <w:rsid w:val="00F41D94"/>
    <w:rsid w:val="00F42887"/>
    <w:rsid w:val="00F42CEF"/>
    <w:rsid w:val="00F4393A"/>
    <w:rsid w:val="00F43B0C"/>
    <w:rsid w:val="00F44B96"/>
    <w:rsid w:val="00F44C91"/>
    <w:rsid w:val="00F44CD9"/>
    <w:rsid w:val="00F4505A"/>
    <w:rsid w:val="00F454B6"/>
    <w:rsid w:val="00F45643"/>
    <w:rsid w:val="00F467B6"/>
    <w:rsid w:val="00F467D8"/>
    <w:rsid w:val="00F50491"/>
    <w:rsid w:val="00F5089B"/>
    <w:rsid w:val="00F50BE5"/>
    <w:rsid w:val="00F50C6E"/>
    <w:rsid w:val="00F513B2"/>
    <w:rsid w:val="00F5285A"/>
    <w:rsid w:val="00F52D10"/>
    <w:rsid w:val="00F52EAD"/>
    <w:rsid w:val="00F52F2B"/>
    <w:rsid w:val="00F53391"/>
    <w:rsid w:val="00F54055"/>
    <w:rsid w:val="00F550C5"/>
    <w:rsid w:val="00F5515A"/>
    <w:rsid w:val="00F555E9"/>
    <w:rsid w:val="00F55B8C"/>
    <w:rsid w:val="00F56272"/>
    <w:rsid w:val="00F56DAD"/>
    <w:rsid w:val="00F56DC9"/>
    <w:rsid w:val="00F57D90"/>
    <w:rsid w:val="00F60BFD"/>
    <w:rsid w:val="00F6110C"/>
    <w:rsid w:val="00F6156C"/>
    <w:rsid w:val="00F6190D"/>
    <w:rsid w:val="00F61938"/>
    <w:rsid w:val="00F61C51"/>
    <w:rsid w:val="00F61D55"/>
    <w:rsid w:val="00F62174"/>
    <w:rsid w:val="00F6237F"/>
    <w:rsid w:val="00F6362D"/>
    <w:rsid w:val="00F64C66"/>
    <w:rsid w:val="00F6573D"/>
    <w:rsid w:val="00F65A46"/>
    <w:rsid w:val="00F65BB1"/>
    <w:rsid w:val="00F65EB5"/>
    <w:rsid w:val="00F66B01"/>
    <w:rsid w:val="00F66ED8"/>
    <w:rsid w:val="00F671AE"/>
    <w:rsid w:val="00F67875"/>
    <w:rsid w:val="00F67938"/>
    <w:rsid w:val="00F70AF4"/>
    <w:rsid w:val="00F71743"/>
    <w:rsid w:val="00F718BE"/>
    <w:rsid w:val="00F719E7"/>
    <w:rsid w:val="00F72135"/>
    <w:rsid w:val="00F72A71"/>
    <w:rsid w:val="00F734E7"/>
    <w:rsid w:val="00F74347"/>
    <w:rsid w:val="00F751C2"/>
    <w:rsid w:val="00F751D3"/>
    <w:rsid w:val="00F75570"/>
    <w:rsid w:val="00F75981"/>
    <w:rsid w:val="00F75C75"/>
    <w:rsid w:val="00F7699D"/>
    <w:rsid w:val="00F771EB"/>
    <w:rsid w:val="00F779A3"/>
    <w:rsid w:val="00F77AC9"/>
    <w:rsid w:val="00F77C35"/>
    <w:rsid w:val="00F77F67"/>
    <w:rsid w:val="00F80609"/>
    <w:rsid w:val="00F807F1"/>
    <w:rsid w:val="00F80D18"/>
    <w:rsid w:val="00F81171"/>
    <w:rsid w:val="00F813BF"/>
    <w:rsid w:val="00F82018"/>
    <w:rsid w:val="00F821C9"/>
    <w:rsid w:val="00F824BA"/>
    <w:rsid w:val="00F83165"/>
    <w:rsid w:val="00F835C7"/>
    <w:rsid w:val="00F83943"/>
    <w:rsid w:val="00F83FA5"/>
    <w:rsid w:val="00F850BE"/>
    <w:rsid w:val="00F856D8"/>
    <w:rsid w:val="00F85E73"/>
    <w:rsid w:val="00F85FC4"/>
    <w:rsid w:val="00F86F1C"/>
    <w:rsid w:val="00F8739B"/>
    <w:rsid w:val="00F87980"/>
    <w:rsid w:val="00F87B65"/>
    <w:rsid w:val="00F90458"/>
    <w:rsid w:val="00F90BC1"/>
    <w:rsid w:val="00F9116B"/>
    <w:rsid w:val="00F9122B"/>
    <w:rsid w:val="00F9239C"/>
    <w:rsid w:val="00F9289B"/>
    <w:rsid w:val="00F929B4"/>
    <w:rsid w:val="00F930DF"/>
    <w:rsid w:val="00F931CF"/>
    <w:rsid w:val="00F93964"/>
    <w:rsid w:val="00F93C65"/>
    <w:rsid w:val="00F93DB8"/>
    <w:rsid w:val="00F95B0B"/>
    <w:rsid w:val="00F95CB4"/>
    <w:rsid w:val="00F95E08"/>
    <w:rsid w:val="00F96A30"/>
    <w:rsid w:val="00F96EE7"/>
    <w:rsid w:val="00F97003"/>
    <w:rsid w:val="00FA10EE"/>
    <w:rsid w:val="00FA17FF"/>
    <w:rsid w:val="00FA1803"/>
    <w:rsid w:val="00FA1BDF"/>
    <w:rsid w:val="00FA1FA2"/>
    <w:rsid w:val="00FA34FB"/>
    <w:rsid w:val="00FA38F2"/>
    <w:rsid w:val="00FA3BDF"/>
    <w:rsid w:val="00FA4BC1"/>
    <w:rsid w:val="00FA4CCF"/>
    <w:rsid w:val="00FA561F"/>
    <w:rsid w:val="00FA5743"/>
    <w:rsid w:val="00FA5A92"/>
    <w:rsid w:val="00FA5C89"/>
    <w:rsid w:val="00FA6032"/>
    <w:rsid w:val="00FA7148"/>
    <w:rsid w:val="00FB0149"/>
    <w:rsid w:val="00FB0914"/>
    <w:rsid w:val="00FB1081"/>
    <w:rsid w:val="00FB1277"/>
    <w:rsid w:val="00FB2485"/>
    <w:rsid w:val="00FB33AC"/>
    <w:rsid w:val="00FB387B"/>
    <w:rsid w:val="00FB4714"/>
    <w:rsid w:val="00FB47BE"/>
    <w:rsid w:val="00FB49F8"/>
    <w:rsid w:val="00FB4E0C"/>
    <w:rsid w:val="00FB5D36"/>
    <w:rsid w:val="00FB60DD"/>
    <w:rsid w:val="00FB623D"/>
    <w:rsid w:val="00FB659F"/>
    <w:rsid w:val="00FB6647"/>
    <w:rsid w:val="00FB6FB4"/>
    <w:rsid w:val="00FB71C8"/>
    <w:rsid w:val="00FB7381"/>
    <w:rsid w:val="00FB7599"/>
    <w:rsid w:val="00FB7BED"/>
    <w:rsid w:val="00FC01CF"/>
    <w:rsid w:val="00FC09E5"/>
    <w:rsid w:val="00FC107F"/>
    <w:rsid w:val="00FC202A"/>
    <w:rsid w:val="00FC20D9"/>
    <w:rsid w:val="00FC215D"/>
    <w:rsid w:val="00FC24E1"/>
    <w:rsid w:val="00FC417F"/>
    <w:rsid w:val="00FC4A36"/>
    <w:rsid w:val="00FC58DD"/>
    <w:rsid w:val="00FC5BE9"/>
    <w:rsid w:val="00FC67EA"/>
    <w:rsid w:val="00FC6C12"/>
    <w:rsid w:val="00FC71B7"/>
    <w:rsid w:val="00FC724A"/>
    <w:rsid w:val="00FC75DB"/>
    <w:rsid w:val="00FC7AFB"/>
    <w:rsid w:val="00FD008B"/>
    <w:rsid w:val="00FD0A9B"/>
    <w:rsid w:val="00FD0C02"/>
    <w:rsid w:val="00FD1E30"/>
    <w:rsid w:val="00FD26DC"/>
    <w:rsid w:val="00FD2DB1"/>
    <w:rsid w:val="00FD4CD1"/>
    <w:rsid w:val="00FD525B"/>
    <w:rsid w:val="00FD5CFD"/>
    <w:rsid w:val="00FD5D28"/>
    <w:rsid w:val="00FD5E69"/>
    <w:rsid w:val="00FD65C5"/>
    <w:rsid w:val="00FD66F6"/>
    <w:rsid w:val="00FD6788"/>
    <w:rsid w:val="00FD6C3B"/>
    <w:rsid w:val="00FD6DA3"/>
    <w:rsid w:val="00FD719E"/>
    <w:rsid w:val="00FE0233"/>
    <w:rsid w:val="00FE04AA"/>
    <w:rsid w:val="00FE38C5"/>
    <w:rsid w:val="00FE38F7"/>
    <w:rsid w:val="00FE3E81"/>
    <w:rsid w:val="00FE4EE7"/>
    <w:rsid w:val="00FE540A"/>
    <w:rsid w:val="00FE566E"/>
    <w:rsid w:val="00FE6103"/>
    <w:rsid w:val="00FE6CE6"/>
    <w:rsid w:val="00FE713C"/>
    <w:rsid w:val="00FE71C2"/>
    <w:rsid w:val="00FE78BB"/>
    <w:rsid w:val="00FE7ABD"/>
    <w:rsid w:val="00FE7BCB"/>
    <w:rsid w:val="00FF022C"/>
    <w:rsid w:val="00FF0CBC"/>
    <w:rsid w:val="00FF1EF4"/>
    <w:rsid w:val="00FF2592"/>
    <w:rsid w:val="00FF2A17"/>
    <w:rsid w:val="00FF3155"/>
    <w:rsid w:val="00FF32F4"/>
    <w:rsid w:val="00FF36E9"/>
    <w:rsid w:val="00FF41CF"/>
    <w:rsid w:val="00FF69DB"/>
    <w:rsid w:val="00FF6E89"/>
    <w:rsid w:val="0101E98B"/>
    <w:rsid w:val="010E175C"/>
    <w:rsid w:val="0119DC92"/>
    <w:rsid w:val="0122F999"/>
    <w:rsid w:val="01238931"/>
    <w:rsid w:val="014E78CF"/>
    <w:rsid w:val="016DBABB"/>
    <w:rsid w:val="017C06D8"/>
    <w:rsid w:val="0196A876"/>
    <w:rsid w:val="01A19A64"/>
    <w:rsid w:val="01AE48A3"/>
    <w:rsid w:val="01E1ABA7"/>
    <w:rsid w:val="01E352CD"/>
    <w:rsid w:val="0205BE1D"/>
    <w:rsid w:val="02474CB4"/>
    <w:rsid w:val="024F94D9"/>
    <w:rsid w:val="0256A458"/>
    <w:rsid w:val="0277C9E3"/>
    <w:rsid w:val="027CC149"/>
    <w:rsid w:val="0283AA9C"/>
    <w:rsid w:val="02D14BD9"/>
    <w:rsid w:val="02DD42FA"/>
    <w:rsid w:val="030BE0D6"/>
    <w:rsid w:val="032F283E"/>
    <w:rsid w:val="034EE6F1"/>
    <w:rsid w:val="0382B400"/>
    <w:rsid w:val="03AE6D1E"/>
    <w:rsid w:val="03C8DC05"/>
    <w:rsid w:val="03C93E86"/>
    <w:rsid w:val="03D1ECAF"/>
    <w:rsid w:val="03D8166B"/>
    <w:rsid w:val="03D8CF8A"/>
    <w:rsid w:val="03FD7746"/>
    <w:rsid w:val="041874BB"/>
    <w:rsid w:val="042E2FE5"/>
    <w:rsid w:val="04323652"/>
    <w:rsid w:val="046354E0"/>
    <w:rsid w:val="04779A39"/>
    <w:rsid w:val="0485ADD2"/>
    <w:rsid w:val="04A753FA"/>
    <w:rsid w:val="04B2E4B4"/>
    <w:rsid w:val="04ED28C6"/>
    <w:rsid w:val="04F752A5"/>
    <w:rsid w:val="051DE994"/>
    <w:rsid w:val="055813F2"/>
    <w:rsid w:val="056C42B6"/>
    <w:rsid w:val="056EE0C1"/>
    <w:rsid w:val="05725DC7"/>
    <w:rsid w:val="0581D4F0"/>
    <w:rsid w:val="05C74007"/>
    <w:rsid w:val="05D4F360"/>
    <w:rsid w:val="05F01A01"/>
    <w:rsid w:val="05F63B9C"/>
    <w:rsid w:val="05FCC761"/>
    <w:rsid w:val="06023DC6"/>
    <w:rsid w:val="0630C9BB"/>
    <w:rsid w:val="06524248"/>
    <w:rsid w:val="06965E55"/>
    <w:rsid w:val="06CDC0E5"/>
    <w:rsid w:val="06E16D1E"/>
    <w:rsid w:val="06E67D63"/>
    <w:rsid w:val="0700DF48"/>
    <w:rsid w:val="07072614"/>
    <w:rsid w:val="070AFB30"/>
    <w:rsid w:val="0721E6C1"/>
    <w:rsid w:val="076FCCED"/>
    <w:rsid w:val="07A52BD1"/>
    <w:rsid w:val="07A5F3E1"/>
    <w:rsid w:val="07BBD9A1"/>
    <w:rsid w:val="07C42868"/>
    <w:rsid w:val="07CF6862"/>
    <w:rsid w:val="07D14170"/>
    <w:rsid w:val="07DF17FE"/>
    <w:rsid w:val="07E15C6B"/>
    <w:rsid w:val="07E90002"/>
    <w:rsid w:val="07EF2101"/>
    <w:rsid w:val="07F18C11"/>
    <w:rsid w:val="0803E3D9"/>
    <w:rsid w:val="081FB16E"/>
    <w:rsid w:val="08325FB1"/>
    <w:rsid w:val="0852987D"/>
    <w:rsid w:val="0865073B"/>
    <w:rsid w:val="087B1DEF"/>
    <w:rsid w:val="0889A987"/>
    <w:rsid w:val="08B2D857"/>
    <w:rsid w:val="08D71967"/>
    <w:rsid w:val="08DD1937"/>
    <w:rsid w:val="08E6696E"/>
    <w:rsid w:val="08FFAFEC"/>
    <w:rsid w:val="09050F80"/>
    <w:rsid w:val="09210FCD"/>
    <w:rsid w:val="0922CCEF"/>
    <w:rsid w:val="0925D7E1"/>
    <w:rsid w:val="092CF6C9"/>
    <w:rsid w:val="0946B8EE"/>
    <w:rsid w:val="095272A3"/>
    <w:rsid w:val="09587F57"/>
    <w:rsid w:val="09623D7E"/>
    <w:rsid w:val="0969BD17"/>
    <w:rsid w:val="096D9A6E"/>
    <w:rsid w:val="097B037D"/>
    <w:rsid w:val="097DD3A4"/>
    <w:rsid w:val="099B4C49"/>
    <w:rsid w:val="09AC5AFC"/>
    <w:rsid w:val="09DED39C"/>
    <w:rsid w:val="09F6EB09"/>
    <w:rsid w:val="0A02446B"/>
    <w:rsid w:val="0A17DA8D"/>
    <w:rsid w:val="0A1E4D73"/>
    <w:rsid w:val="0A3264E0"/>
    <w:rsid w:val="0A41E6EA"/>
    <w:rsid w:val="0A60AEFD"/>
    <w:rsid w:val="0A6C1A6F"/>
    <w:rsid w:val="0AB3F651"/>
    <w:rsid w:val="0ABD3C8A"/>
    <w:rsid w:val="0ACBE217"/>
    <w:rsid w:val="0ADA74B7"/>
    <w:rsid w:val="0AEADACA"/>
    <w:rsid w:val="0B12578A"/>
    <w:rsid w:val="0B36E232"/>
    <w:rsid w:val="0B5CE9FB"/>
    <w:rsid w:val="0B955861"/>
    <w:rsid w:val="0B98E38E"/>
    <w:rsid w:val="0BB04BF4"/>
    <w:rsid w:val="0C0EC498"/>
    <w:rsid w:val="0C2BD625"/>
    <w:rsid w:val="0C2DA39A"/>
    <w:rsid w:val="0C3043AD"/>
    <w:rsid w:val="0C3C311D"/>
    <w:rsid w:val="0C6C28EB"/>
    <w:rsid w:val="0C7A49FD"/>
    <w:rsid w:val="0C88FE86"/>
    <w:rsid w:val="0C9C3049"/>
    <w:rsid w:val="0CA9155A"/>
    <w:rsid w:val="0CC3CB84"/>
    <w:rsid w:val="0CC60A85"/>
    <w:rsid w:val="0D338EE8"/>
    <w:rsid w:val="0D3701B4"/>
    <w:rsid w:val="0D505B98"/>
    <w:rsid w:val="0D779841"/>
    <w:rsid w:val="0D8D2513"/>
    <w:rsid w:val="0D962CE9"/>
    <w:rsid w:val="0DCDCD25"/>
    <w:rsid w:val="0DE48EB7"/>
    <w:rsid w:val="0DF3C04E"/>
    <w:rsid w:val="0E25E1EC"/>
    <w:rsid w:val="0E2611F9"/>
    <w:rsid w:val="0E4A5841"/>
    <w:rsid w:val="0E57F68D"/>
    <w:rsid w:val="0E65ADF5"/>
    <w:rsid w:val="0E70B5F7"/>
    <w:rsid w:val="0E7C0F02"/>
    <w:rsid w:val="0E83DB9C"/>
    <w:rsid w:val="0EBEC5E1"/>
    <w:rsid w:val="0EEB0F2F"/>
    <w:rsid w:val="0EEE6BDB"/>
    <w:rsid w:val="0F0D4A42"/>
    <w:rsid w:val="0F13FF92"/>
    <w:rsid w:val="0F22EF2A"/>
    <w:rsid w:val="0F32015D"/>
    <w:rsid w:val="0F59F797"/>
    <w:rsid w:val="0F8B8237"/>
    <w:rsid w:val="0F8E33B4"/>
    <w:rsid w:val="0F8F8A37"/>
    <w:rsid w:val="0FC1B084"/>
    <w:rsid w:val="0FED1F82"/>
    <w:rsid w:val="0FF3D9F5"/>
    <w:rsid w:val="0FF8BB63"/>
    <w:rsid w:val="0FFFD4FF"/>
    <w:rsid w:val="1027C731"/>
    <w:rsid w:val="102FB0DF"/>
    <w:rsid w:val="1030FE50"/>
    <w:rsid w:val="103AAE62"/>
    <w:rsid w:val="10641529"/>
    <w:rsid w:val="1087C7D7"/>
    <w:rsid w:val="1091784D"/>
    <w:rsid w:val="10A623E2"/>
    <w:rsid w:val="10A91AA3"/>
    <w:rsid w:val="10B926FA"/>
    <w:rsid w:val="10C2D8E1"/>
    <w:rsid w:val="110C70CF"/>
    <w:rsid w:val="1178A589"/>
    <w:rsid w:val="11924874"/>
    <w:rsid w:val="11A4FAAD"/>
    <w:rsid w:val="11A6298A"/>
    <w:rsid w:val="11A82118"/>
    <w:rsid w:val="11ACD04E"/>
    <w:rsid w:val="11AD3853"/>
    <w:rsid w:val="11AF52F4"/>
    <w:rsid w:val="11B43249"/>
    <w:rsid w:val="11BB7F36"/>
    <w:rsid w:val="11F7B4BE"/>
    <w:rsid w:val="11FE14A3"/>
    <w:rsid w:val="120580FD"/>
    <w:rsid w:val="122BC83C"/>
    <w:rsid w:val="124044F7"/>
    <w:rsid w:val="12465635"/>
    <w:rsid w:val="1258F27B"/>
    <w:rsid w:val="125F9D01"/>
    <w:rsid w:val="126BFE9E"/>
    <w:rsid w:val="1277EB55"/>
    <w:rsid w:val="127D41B8"/>
    <w:rsid w:val="1284709F"/>
    <w:rsid w:val="1299251B"/>
    <w:rsid w:val="1299C1E0"/>
    <w:rsid w:val="12A5FBB3"/>
    <w:rsid w:val="12AA6927"/>
    <w:rsid w:val="12C18EE9"/>
    <w:rsid w:val="12CE0ABF"/>
    <w:rsid w:val="12E770DA"/>
    <w:rsid w:val="1306DB0F"/>
    <w:rsid w:val="131886A3"/>
    <w:rsid w:val="1328BE77"/>
    <w:rsid w:val="13396243"/>
    <w:rsid w:val="13504344"/>
    <w:rsid w:val="136BF67E"/>
    <w:rsid w:val="139AEC9D"/>
    <w:rsid w:val="139F963F"/>
    <w:rsid w:val="13B860E7"/>
    <w:rsid w:val="13B8F833"/>
    <w:rsid w:val="13FD9E75"/>
    <w:rsid w:val="14038BE8"/>
    <w:rsid w:val="141F4069"/>
    <w:rsid w:val="142CF79B"/>
    <w:rsid w:val="1447BC20"/>
    <w:rsid w:val="1448596B"/>
    <w:rsid w:val="1450653A"/>
    <w:rsid w:val="145084C1"/>
    <w:rsid w:val="1451E416"/>
    <w:rsid w:val="1469C8C8"/>
    <w:rsid w:val="146A0397"/>
    <w:rsid w:val="147562ED"/>
    <w:rsid w:val="147E74F2"/>
    <w:rsid w:val="1487EBD7"/>
    <w:rsid w:val="148DB9DF"/>
    <w:rsid w:val="14919A1B"/>
    <w:rsid w:val="14C10F2C"/>
    <w:rsid w:val="14CBFD07"/>
    <w:rsid w:val="15000CBC"/>
    <w:rsid w:val="151EDB49"/>
    <w:rsid w:val="152475E3"/>
    <w:rsid w:val="1525D50C"/>
    <w:rsid w:val="15334AFE"/>
    <w:rsid w:val="15405BD2"/>
    <w:rsid w:val="154A2FB0"/>
    <w:rsid w:val="154D5F5C"/>
    <w:rsid w:val="15620A54"/>
    <w:rsid w:val="1592B040"/>
    <w:rsid w:val="15962DFA"/>
    <w:rsid w:val="15AC4E5E"/>
    <w:rsid w:val="15B51BE1"/>
    <w:rsid w:val="15E51E4B"/>
    <w:rsid w:val="15EB6C46"/>
    <w:rsid w:val="15FB238C"/>
    <w:rsid w:val="1600CD16"/>
    <w:rsid w:val="1631C5A1"/>
    <w:rsid w:val="1646E55C"/>
    <w:rsid w:val="1655CBDC"/>
    <w:rsid w:val="16699E7E"/>
    <w:rsid w:val="16C1FAC0"/>
    <w:rsid w:val="16D126FC"/>
    <w:rsid w:val="16FF33CA"/>
    <w:rsid w:val="170AF971"/>
    <w:rsid w:val="170BDB0D"/>
    <w:rsid w:val="173D2526"/>
    <w:rsid w:val="1752DAF6"/>
    <w:rsid w:val="177C3059"/>
    <w:rsid w:val="177C5F7D"/>
    <w:rsid w:val="17B4F596"/>
    <w:rsid w:val="17CB10A3"/>
    <w:rsid w:val="17D0BC3A"/>
    <w:rsid w:val="17E24A85"/>
    <w:rsid w:val="17FC711C"/>
    <w:rsid w:val="181A05C6"/>
    <w:rsid w:val="184F4827"/>
    <w:rsid w:val="185767C0"/>
    <w:rsid w:val="18602243"/>
    <w:rsid w:val="18617907"/>
    <w:rsid w:val="187EBADE"/>
    <w:rsid w:val="1890E34B"/>
    <w:rsid w:val="18B03DF6"/>
    <w:rsid w:val="18B22397"/>
    <w:rsid w:val="18B2D8DB"/>
    <w:rsid w:val="18EDD3A7"/>
    <w:rsid w:val="19229C77"/>
    <w:rsid w:val="19283E57"/>
    <w:rsid w:val="1940DBB2"/>
    <w:rsid w:val="196BC14B"/>
    <w:rsid w:val="19992D29"/>
    <w:rsid w:val="19B231BA"/>
    <w:rsid w:val="19D39CD7"/>
    <w:rsid w:val="19E73998"/>
    <w:rsid w:val="19FA5A82"/>
    <w:rsid w:val="1A1F70AC"/>
    <w:rsid w:val="1A38B6BF"/>
    <w:rsid w:val="1A645653"/>
    <w:rsid w:val="1A661061"/>
    <w:rsid w:val="1A74F3E5"/>
    <w:rsid w:val="1A82DE10"/>
    <w:rsid w:val="1A981884"/>
    <w:rsid w:val="1AB041D3"/>
    <w:rsid w:val="1ACEC707"/>
    <w:rsid w:val="1AFF79ED"/>
    <w:rsid w:val="1B46A2F1"/>
    <w:rsid w:val="1B4BEC4B"/>
    <w:rsid w:val="1B672D33"/>
    <w:rsid w:val="1B9ACE0A"/>
    <w:rsid w:val="1BDADA68"/>
    <w:rsid w:val="1C18A197"/>
    <w:rsid w:val="1C3EFD97"/>
    <w:rsid w:val="1C8F8228"/>
    <w:rsid w:val="1CCAFB5F"/>
    <w:rsid w:val="1CDA4F8B"/>
    <w:rsid w:val="1CE20B0E"/>
    <w:rsid w:val="1CF978A9"/>
    <w:rsid w:val="1CFCB6EE"/>
    <w:rsid w:val="1D047737"/>
    <w:rsid w:val="1D23C9A3"/>
    <w:rsid w:val="1D291AB0"/>
    <w:rsid w:val="1D3494CE"/>
    <w:rsid w:val="1D3B3A4C"/>
    <w:rsid w:val="1D5E27BA"/>
    <w:rsid w:val="1D773539"/>
    <w:rsid w:val="1D89E7DF"/>
    <w:rsid w:val="1D8C3CC9"/>
    <w:rsid w:val="1DAD33E1"/>
    <w:rsid w:val="1DBB832B"/>
    <w:rsid w:val="1DC5285D"/>
    <w:rsid w:val="1DD1E032"/>
    <w:rsid w:val="1DF8559C"/>
    <w:rsid w:val="1E140625"/>
    <w:rsid w:val="1E194983"/>
    <w:rsid w:val="1E31D044"/>
    <w:rsid w:val="1E3A305C"/>
    <w:rsid w:val="1E70D6DA"/>
    <w:rsid w:val="1E74DA17"/>
    <w:rsid w:val="1E7F6E9C"/>
    <w:rsid w:val="1EB20D4B"/>
    <w:rsid w:val="1F08BFF1"/>
    <w:rsid w:val="1F100826"/>
    <w:rsid w:val="1F266D01"/>
    <w:rsid w:val="1F56CD50"/>
    <w:rsid w:val="1F7D33CB"/>
    <w:rsid w:val="1F95E78D"/>
    <w:rsid w:val="1FBBD162"/>
    <w:rsid w:val="1FBF65E9"/>
    <w:rsid w:val="1FC61FF7"/>
    <w:rsid w:val="1FDEC6C1"/>
    <w:rsid w:val="1FE621C9"/>
    <w:rsid w:val="1FE9D15C"/>
    <w:rsid w:val="1FEFEE28"/>
    <w:rsid w:val="2023A286"/>
    <w:rsid w:val="2043AD83"/>
    <w:rsid w:val="204FFC77"/>
    <w:rsid w:val="208FC1FF"/>
    <w:rsid w:val="20F42526"/>
    <w:rsid w:val="2130937D"/>
    <w:rsid w:val="214BF024"/>
    <w:rsid w:val="215D6045"/>
    <w:rsid w:val="217886BB"/>
    <w:rsid w:val="2215B921"/>
    <w:rsid w:val="22369710"/>
    <w:rsid w:val="2241E671"/>
    <w:rsid w:val="2241EA8C"/>
    <w:rsid w:val="22589AA3"/>
    <w:rsid w:val="225A46D2"/>
    <w:rsid w:val="225E2CBA"/>
    <w:rsid w:val="226CF3C7"/>
    <w:rsid w:val="22751AC8"/>
    <w:rsid w:val="2276FE0C"/>
    <w:rsid w:val="2289BDC3"/>
    <w:rsid w:val="22AE2661"/>
    <w:rsid w:val="22C42CDE"/>
    <w:rsid w:val="22FEB388"/>
    <w:rsid w:val="2360A33D"/>
    <w:rsid w:val="237416D9"/>
    <w:rsid w:val="23748B1E"/>
    <w:rsid w:val="237A3E73"/>
    <w:rsid w:val="237DC7C6"/>
    <w:rsid w:val="2384A75C"/>
    <w:rsid w:val="23A6797D"/>
    <w:rsid w:val="23D3D847"/>
    <w:rsid w:val="23D90EDD"/>
    <w:rsid w:val="23DB850E"/>
    <w:rsid w:val="23E656A7"/>
    <w:rsid w:val="2452EB2E"/>
    <w:rsid w:val="245A3C3E"/>
    <w:rsid w:val="24663CD5"/>
    <w:rsid w:val="247D1813"/>
    <w:rsid w:val="2487277A"/>
    <w:rsid w:val="2494F0D2"/>
    <w:rsid w:val="2496A603"/>
    <w:rsid w:val="249E3839"/>
    <w:rsid w:val="24B9A85B"/>
    <w:rsid w:val="24BA3A55"/>
    <w:rsid w:val="24BC1449"/>
    <w:rsid w:val="24E8F6E5"/>
    <w:rsid w:val="24ECD581"/>
    <w:rsid w:val="24EDA117"/>
    <w:rsid w:val="250CF9F3"/>
    <w:rsid w:val="253B7320"/>
    <w:rsid w:val="253E537B"/>
    <w:rsid w:val="253ECD1F"/>
    <w:rsid w:val="2551CC41"/>
    <w:rsid w:val="25695313"/>
    <w:rsid w:val="25818D81"/>
    <w:rsid w:val="25AED24F"/>
    <w:rsid w:val="25D7121D"/>
    <w:rsid w:val="25E31D57"/>
    <w:rsid w:val="25F805DE"/>
    <w:rsid w:val="25FE5F35"/>
    <w:rsid w:val="2621CB77"/>
    <w:rsid w:val="2640AD33"/>
    <w:rsid w:val="26418BAE"/>
    <w:rsid w:val="264F2749"/>
    <w:rsid w:val="265920C7"/>
    <w:rsid w:val="26750F03"/>
    <w:rsid w:val="269C6137"/>
    <w:rsid w:val="2753CD56"/>
    <w:rsid w:val="27540A86"/>
    <w:rsid w:val="278D76D4"/>
    <w:rsid w:val="279E7E55"/>
    <w:rsid w:val="27B55BBD"/>
    <w:rsid w:val="27D4C3A3"/>
    <w:rsid w:val="27FA5EDC"/>
    <w:rsid w:val="280768EE"/>
    <w:rsid w:val="28149169"/>
    <w:rsid w:val="282F94B9"/>
    <w:rsid w:val="2837DE85"/>
    <w:rsid w:val="284B50EB"/>
    <w:rsid w:val="284B7669"/>
    <w:rsid w:val="284C0455"/>
    <w:rsid w:val="28748D5B"/>
    <w:rsid w:val="288598E7"/>
    <w:rsid w:val="28897B17"/>
    <w:rsid w:val="2894F51E"/>
    <w:rsid w:val="28BBD915"/>
    <w:rsid w:val="28FB92C2"/>
    <w:rsid w:val="28FE50EC"/>
    <w:rsid w:val="290C5C16"/>
    <w:rsid w:val="290D4F68"/>
    <w:rsid w:val="2950C615"/>
    <w:rsid w:val="2952943A"/>
    <w:rsid w:val="2970EA8D"/>
    <w:rsid w:val="297100A7"/>
    <w:rsid w:val="29779749"/>
    <w:rsid w:val="29A391D3"/>
    <w:rsid w:val="29C0CA02"/>
    <w:rsid w:val="29C1123A"/>
    <w:rsid w:val="29D41C8B"/>
    <w:rsid w:val="29DF74D9"/>
    <w:rsid w:val="29EBD790"/>
    <w:rsid w:val="29F7152A"/>
    <w:rsid w:val="29F9473B"/>
    <w:rsid w:val="2A0F0431"/>
    <w:rsid w:val="2A3A034D"/>
    <w:rsid w:val="2A4700B5"/>
    <w:rsid w:val="2A4FF5C7"/>
    <w:rsid w:val="2A5BC8AC"/>
    <w:rsid w:val="2A6AF954"/>
    <w:rsid w:val="2A738D39"/>
    <w:rsid w:val="2A8BEEC8"/>
    <w:rsid w:val="2A9C59F0"/>
    <w:rsid w:val="2A9FC762"/>
    <w:rsid w:val="2AA2E9B3"/>
    <w:rsid w:val="2ABDA047"/>
    <w:rsid w:val="2AF88A27"/>
    <w:rsid w:val="2B40ADB9"/>
    <w:rsid w:val="2B56DEB6"/>
    <w:rsid w:val="2B61CE69"/>
    <w:rsid w:val="2BA953B7"/>
    <w:rsid w:val="2BAF1886"/>
    <w:rsid w:val="2BBB9283"/>
    <w:rsid w:val="2BD03FDB"/>
    <w:rsid w:val="2BD2283B"/>
    <w:rsid w:val="2BD89497"/>
    <w:rsid w:val="2BED53BA"/>
    <w:rsid w:val="2BF301D3"/>
    <w:rsid w:val="2BF351F1"/>
    <w:rsid w:val="2BF89AB5"/>
    <w:rsid w:val="2C0D88BB"/>
    <w:rsid w:val="2C34A771"/>
    <w:rsid w:val="2C4670F5"/>
    <w:rsid w:val="2C8FE8F1"/>
    <w:rsid w:val="2C9289DD"/>
    <w:rsid w:val="2CA3AA5D"/>
    <w:rsid w:val="2CA79857"/>
    <w:rsid w:val="2CC3634D"/>
    <w:rsid w:val="2CC4F90C"/>
    <w:rsid w:val="2CE63867"/>
    <w:rsid w:val="2CF2D05E"/>
    <w:rsid w:val="2CFD07B7"/>
    <w:rsid w:val="2D086D80"/>
    <w:rsid w:val="2D0D994E"/>
    <w:rsid w:val="2D1E2512"/>
    <w:rsid w:val="2D45A9BA"/>
    <w:rsid w:val="2D467C4B"/>
    <w:rsid w:val="2D556FFB"/>
    <w:rsid w:val="2D58793F"/>
    <w:rsid w:val="2D5EE319"/>
    <w:rsid w:val="2D7464F8"/>
    <w:rsid w:val="2D87B256"/>
    <w:rsid w:val="2D9C6614"/>
    <w:rsid w:val="2DB7F0B2"/>
    <w:rsid w:val="2DBB0E89"/>
    <w:rsid w:val="2DBF0B70"/>
    <w:rsid w:val="2DBF6FF0"/>
    <w:rsid w:val="2DD146A6"/>
    <w:rsid w:val="2E086CE1"/>
    <w:rsid w:val="2E0D5B35"/>
    <w:rsid w:val="2E105062"/>
    <w:rsid w:val="2E322E3F"/>
    <w:rsid w:val="2E4010AA"/>
    <w:rsid w:val="2E58E081"/>
    <w:rsid w:val="2E5F33AE"/>
    <w:rsid w:val="2E64D6BE"/>
    <w:rsid w:val="2E906445"/>
    <w:rsid w:val="2EA43DE1"/>
    <w:rsid w:val="2EC94C3A"/>
    <w:rsid w:val="2EFBBF76"/>
    <w:rsid w:val="2F11AD5E"/>
    <w:rsid w:val="2F17DF55"/>
    <w:rsid w:val="2F2123B9"/>
    <w:rsid w:val="2F334ADF"/>
    <w:rsid w:val="2F45E787"/>
    <w:rsid w:val="2F4E1AF9"/>
    <w:rsid w:val="2F7C3E16"/>
    <w:rsid w:val="2F8F8C78"/>
    <w:rsid w:val="2F9A904A"/>
    <w:rsid w:val="2FB190F8"/>
    <w:rsid w:val="2FB19DE7"/>
    <w:rsid w:val="2FBF07FD"/>
    <w:rsid w:val="2FC38106"/>
    <w:rsid w:val="2FF6F835"/>
    <w:rsid w:val="2FF8A443"/>
    <w:rsid w:val="300B6ACB"/>
    <w:rsid w:val="30100B16"/>
    <w:rsid w:val="3012FBA7"/>
    <w:rsid w:val="301DEA43"/>
    <w:rsid w:val="30274DCD"/>
    <w:rsid w:val="30297E30"/>
    <w:rsid w:val="302CDF13"/>
    <w:rsid w:val="3032EC20"/>
    <w:rsid w:val="30400E42"/>
    <w:rsid w:val="304E17BF"/>
    <w:rsid w:val="3065E3E8"/>
    <w:rsid w:val="30A0A253"/>
    <w:rsid w:val="30BA0680"/>
    <w:rsid w:val="30CC1158"/>
    <w:rsid w:val="30D0231D"/>
    <w:rsid w:val="30D5A083"/>
    <w:rsid w:val="31029D22"/>
    <w:rsid w:val="31046668"/>
    <w:rsid w:val="315360E5"/>
    <w:rsid w:val="3157160B"/>
    <w:rsid w:val="31A54EEA"/>
    <w:rsid w:val="31BEA2A7"/>
    <w:rsid w:val="31D90636"/>
    <w:rsid w:val="321EE859"/>
    <w:rsid w:val="324AB62E"/>
    <w:rsid w:val="324E1B15"/>
    <w:rsid w:val="326FF1BF"/>
    <w:rsid w:val="327B141D"/>
    <w:rsid w:val="327C1F13"/>
    <w:rsid w:val="327E8EDF"/>
    <w:rsid w:val="3299BAA4"/>
    <w:rsid w:val="329D5841"/>
    <w:rsid w:val="32ACEE9D"/>
    <w:rsid w:val="32C1DC9D"/>
    <w:rsid w:val="32EAF33C"/>
    <w:rsid w:val="3347D945"/>
    <w:rsid w:val="33C6B416"/>
    <w:rsid w:val="33D52970"/>
    <w:rsid w:val="33DF79B1"/>
    <w:rsid w:val="33E30472"/>
    <w:rsid w:val="341229AC"/>
    <w:rsid w:val="34145BF1"/>
    <w:rsid w:val="3427AA84"/>
    <w:rsid w:val="34783CD1"/>
    <w:rsid w:val="347F0318"/>
    <w:rsid w:val="3498C5CC"/>
    <w:rsid w:val="34A04317"/>
    <w:rsid w:val="34A6D567"/>
    <w:rsid w:val="34C3B2F3"/>
    <w:rsid w:val="34DE0A63"/>
    <w:rsid w:val="34E596C6"/>
    <w:rsid w:val="34F61302"/>
    <w:rsid w:val="350E022B"/>
    <w:rsid w:val="35147B0C"/>
    <w:rsid w:val="3532F3FF"/>
    <w:rsid w:val="35434640"/>
    <w:rsid w:val="35468A3E"/>
    <w:rsid w:val="354D16EF"/>
    <w:rsid w:val="3566B2CB"/>
    <w:rsid w:val="357949CF"/>
    <w:rsid w:val="357B795D"/>
    <w:rsid w:val="358E6476"/>
    <w:rsid w:val="3595A51B"/>
    <w:rsid w:val="35969338"/>
    <w:rsid w:val="359A9778"/>
    <w:rsid w:val="35A74E05"/>
    <w:rsid w:val="35C1F306"/>
    <w:rsid w:val="35D7381A"/>
    <w:rsid w:val="35F493DA"/>
    <w:rsid w:val="360F2BC3"/>
    <w:rsid w:val="362BD87D"/>
    <w:rsid w:val="3666865B"/>
    <w:rsid w:val="3696D248"/>
    <w:rsid w:val="36BAFA2D"/>
    <w:rsid w:val="36C0FFC3"/>
    <w:rsid w:val="370BAD5A"/>
    <w:rsid w:val="3710C422"/>
    <w:rsid w:val="371533B6"/>
    <w:rsid w:val="37176E66"/>
    <w:rsid w:val="372A1FC1"/>
    <w:rsid w:val="3730F335"/>
    <w:rsid w:val="3754454C"/>
    <w:rsid w:val="37634EF0"/>
    <w:rsid w:val="379518CF"/>
    <w:rsid w:val="3795BF95"/>
    <w:rsid w:val="379BCEA8"/>
    <w:rsid w:val="37BA052D"/>
    <w:rsid w:val="37C08288"/>
    <w:rsid w:val="37CB34B2"/>
    <w:rsid w:val="380936A7"/>
    <w:rsid w:val="381C0853"/>
    <w:rsid w:val="382068BF"/>
    <w:rsid w:val="383204AC"/>
    <w:rsid w:val="385FE5F1"/>
    <w:rsid w:val="3867BCD1"/>
    <w:rsid w:val="386B98D7"/>
    <w:rsid w:val="3870EE07"/>
    <w:rsid w:val="38A01218"/>
    <w:rsid w:val="38AFCD56"/>
    <w:rsid w:val="38B3CC1A"/>
    <w:rsid w:val="38D74C02"/>
    <w:rsid w:val="38FA5045"/>
    <w:rsid w:val="390A5C06"/>
    <w:rsid w:val="39202974"/>
    <w:rsid w:val="392CD6B1"/>
    <w:rsid w:val="393B64EC"/>
    <w:rsid w:val="39748FAF"/>
    <w:rsid w:val="39870F2A"/>
    <w:rsid w:val="398D43A7"/>
    <w:rsid w:val="39A61236"/>
    <w:rsid w:val="39AE1389"/>
    <w:rsid w:val="39C80814"/>
    <w:rsid w:val="39D1EDED"/>
    <w:rsid w:val="3A0D3335"/>
    <w:rsid w:val="3A0FE2CF"/>
    <w:rsid w:val="3A3C83CC"/>
    <w:rsid w:val="3A3EF898"/>
    <w:rsid w:val="3A442D8B"/>
    <w:rsid w:val="3A464DAE"/>
    <w:rsid w:val="3A516AA5"/>
    <w:rsid w:val="3A516CFB"/>
    <w:rsid w:val="3A57C688"/>
    <w:rsid w:val="3A7973AE"/>
    <w:rsid w:val="3A9F3041"/>
    <w:rsid w:val="3AB50933"/>
    <w:rsid w:val="3AD8DE3E"/>
    <w:rsid w:val="3AF3EB9A"/>
    <w:rsid w:val="3AFC0904"/>
    <w:rsid w:val="3B01210B"/>
    <w:rsid w:val="3B256B4A"/>
    <w:rsid w:val="3B4C5FEB"/>
    <w:rsid w:val="3B646988"/>
    <w:rsid w:val="3B74074F"/>
    <w:rsid w:val="3B7B06C9"/>
    <w:rsid w:val="3B8D9097"/>
    <w:rsid w:val="3B90EB41"/>
    <w:rsid w:val="3B97E399"/>
    <w:rsid w:val="3BF6A5E7"/>
    <w:rsid w:val="3BFF58C6"/>
    <w:rsid w:val="3C00CD5E"/>
    <w:rsid w:val="3C22C187"/>
    <w:rsid w:val="3C27360E"/>
    <w:rsid w:val="3C56D736"/>
    <w:rsid w:val="3C5BFED2"/>
    <w:rsid w:val="3C6AB4A7"/>
    <w:rsid w:val="3C78DDF9"/>
    <w:rsid w:val="3CA2FCAD"/>
    <w:rsid w:val="3CA91104"/>
    <w:rsid w:val="3CFA7B4D"/>
    <w:rsid w:val="3CFAA197"/>
    <w:rsid w:val="3CFFB501"/>
    <w:rsid w:val="3D07CEBA"/>
    <w:rsid w:val="3D0EBE8B"/>
    <w:rsid w:val="3D11CD70"/>
    <w:rsid w:val="3D147BED"/>
    <w:rsid w:val="3D64C82B"/>
    <w:rsid w:val="3D67C1FF"/>
    <w:rsid w:val="3D797CE1"/>
    <w:rsid w:val="3D95ACA8"/>
    <w:rsid w:val="3DB1F5DE"/>
    <w:rsid w:val="3DC581C5"/>
    <w:rsid w:val="3DD65EC1"/>
    <w:rsid w:val="3DDF9B79"/>
    <w:rsid w:val="3DE159A7"/>
    <w:rsid w:val="3DF5991F"/>
    <w:rsid w:val="3E024CFF"/>
    <w:rsid w:val="3E062DAA"/>
    <w:rsid w:val="3E2318BF"/>
    <w:rsid w:val="3E273DDD"/>
    <w:rsid w:val="3E364BF5"/>
    <w:rsid w:val="3E414E4D"/>
    <w:rsid w:val="3E5A37D8"/>
    <w:rsid w:val="3EC5F8CA"/>
    <w:rsid w:val="3ECAC9C3"/>
    <w:rsid w:val="3EE31AB0"/>
    <w:rsid w:val="3EF0095F"/>
    <w:rsid w:val="3EFB6B05"/>
    <w:rsid w:val="3F0EE24B"/>
    <w:rsid w:val="3F1A48FA"/>
    <w:rsid w:val="3F21C2BB"/>
    <w:rsid w:val="3F3B65E4"/>
    <w:rsid w:val="3F3CD84B"/>
    <w:rsid w:val="3FA1027C"/>
    <w:rsid w:val="3FA9BB13"/>
    <w:rsid w:val="3FC37829"/>
    <w:rsid w:val="3FCC78ED"/>
    <w:rsid w:val="3FD13FB8"/>
    <w:rsid w:val="3FE8B8FE"/>
    <w:rsid w:val="401C585C"/>
    <w:rsid w:val="40469794"/>
    <w:rsid w:val="405B1461"/>
    <w:rsid w:val="406E7BA6"/>
    <w:rsid w:val="40795453"/>
    <w:rsid w:val="4090ACBA"/>
    <w:rsid w:val="40BF0E3C"/>
    <w:rsid w:val="40C0E26C"/>
    <w:rsid w:val="40D8A908"/>
    <w:rsid w:val="40DD4A1F"/>
    <w:rsid w:val="41098808"/>
    <w:rsid w:val="4117432C"/>
    <w:rsid w:val="4125F70D"/>
    <w:rsid w:val="412BCB9F"/>
    <w:rsid w:val="41999254"/>
    <w:rsid w:val="419FE541"/>
    <w:rsid w:val="41A3A1C3"/>
    <w:rsid w:val="41E7AC43"/>
    <w:rsid w:val="41F80B24"/>
    <w:rsid w:val="41FC42DE"/>
    <w:rsid w:val="42107FCC"/>
    <w:rsid w:val="4226CFA6"/>
    <w:rsid w:val="4253756E"/>
    <w:rsid w:val="42851FBD"/>
    <w:rsid w:val="42C39E2E"/>
    <w:rsid w:val="42CB23CA"/>
    <w:rsid w:val="42CDAB1F"/>
    <w:rsid w:val="42CFF630"/>
    <w:rsid w:val="42EDA4D2"/>
    <w:rsid w:val="42F4372B"/>
    <w:rsid w:val="42F5139E"/>
    <w:rsid w:val="43131036"/>
    <w:rsid w:val="431808DB"/>
    <w:rsid w:val="43193F15"/>
    <w:rsid w:val="4323019A"/>
    <w:rsid w:val="43542889"/>
    <w:rsid w:val="43620806"/>
    <w:rsid w:val="436D2B8F"/>
    <w:rsid w:val="436D9931"/>
    <w:rsid w:val="43720869"/>
    <w:rsid w:val="437AE69A"/>
    <w:rsid w:val="437F8B87"/>
    <w:rsid w:val="43945DE8"/>
    <w:rsid w:val="439D05BB"/>
    <w:rsid w:val="43A4650D"/>
    <w:rsid w:val="43D821AA"/>
    <w:rsid w:val="43E05686"/>
    <w:rsid w:val="43E626C8"/>
    <w:rsid w:val="441010E7"/>
    <w:rsid w:val="441E7696"/>
    <w:rsid w:val="44B3298D"/>
    <w:rsid w:val="44B55259"/>
    <w:rsid w:val="44E8DAFB"/>
    <w:rsid w:val="451D41B8"/>
    <w:rsid w:val="45459095"/>
    <w:rsid w:val="4548A9AF"/>
    <w:rsid w:val="454DFFB2"/>
    <w:rsid w:val="459516F7"/>
    <w:rsid w:val="45AE768D"/>
    <w:rsid w:val="45BA46F7"/>
    <w:rsid w:val="45D2D320"/>
    <w:rsid w:val="46086D16"/>
    <w:rsid w:val="462373C2"/>
    <w:rsid w:val="46482C69"/>
    <w:rsid w:val="464B2A50"/>
    <w:rsid w:val="466EA0E8"/>
    <w:rsid w:val="4686B4C1"/>
    <w:rsid w:val="468D67F8"/>
    <w:rsid w:val="46A0E500"/>
    <w:rsid w:val="46AF6AD4"/>
    <w:rsid w:val="46BB2174"/>
    <w:rsid w:val="46D32E60"/>
    <w:rsid w:val="46E90D28"/>
    <w:rsid w:val="46EDE14D"/>
    <w:rsid w:val="470D65A6"/>
    <w:rsid w:val="470ED045"/>
    <w:rsid w:val="47154F37"/>
    <w:rsid w:val="472BA046"/>
    <w:rsid w:val="472D9F80"/>
    <w:rsid w:val="474F597D"/>
    <w:rsid w:val="47504E14"/>
    <w:rsid w:val="47617815"/>
    <w:rsid w:val="47634B9E"/>
    <w:rsid w:val="4778141B"/>
    <w:rsid w:val="47895050"/>
    <w:rsid w:val="479EFE97"/>
    <w:rsid w:val="47AD8810"/>
    <w:rsid w:val="47B58DE8"/>
    <w:rsid w:val="47D19CE0"/>
    <w:rsid w:val="47D24BE8"/>
    <w:rsid w:val="47DD7B94"/>
    <w:rsid w:val="47DE7250"/>
    <w:rsid w:val="47F4CCF1"/>
    <w:rsid w:val="4808BB0A"/>
    <w:rsid w:val="4808D3D8"/>
    <w:rsid w:val="480EB3E8"/>
    <w:rsid w:val="48140CD2"/>
    <w:rsid w:val="482C223B"/>
    <w:rsid w:val="4837EBCB"/>
    <w:rsid w:val="483E4DBA"/>
    <w:rsid w:val="48404E96"/>
    <w:rsid w:val="4853D327"/>
    <w:rsid w:val="48588142"/>
    <w:rsid w:val="485EB6F6"/>
    <w:rsid w:val="48796B6D"/>
    <w:rsid w:val="487BE490"/>
    <w:rsid w:val="487E41AA"/>
    <w:rsid w:val="487F10D7"/>
    <w:rsid w:val="489B8514"/>
    <w:rsid w:val="48A66DB1"/>
    <w:rsid w:val="48AE6BC7"/>
    <w:rsid w:val="48CC018B"/>
    <w:rsid w:val="48E2A4FD"/>
    <w:rsid w:val="48FBE94B"/>
    <w:rsid w:val="4903E78B"/>
    <w:rsid w:val="49047F2D"/>
    <w:rsid w:val="490A7C91"/>
    <w:rsid w:val="4922113A"/>
    <w:rsid w:val="49340705"/>
    <w:rsid w:val="493FDD28"/>
    <w:rsid w:val="4942D885"/>
    <w:rsid w:val="4973EAC2"/>
    <w:rsid w:val="497566B1"/>
    <w:rsid w:val="498B6F32"/>
    <w:rsid w:val="498FDB53"/>
    <w:rsid w:val="49C1FA7B"/>
    <w:rsid w:val="49CA6DB5"/>
    <w:rsid w:val="49E55A53"/>
    <w:rsid w:val="49E57BE4"/>
    <w:rsid w:val="49F881C5"/>
    <w:rsid w:val="49FE0F90"/>
    <w:rsid w:val="4A40F038"/>
    <w:rsid w:val="4A5E0C90"/>
    <w:rsid w:val="4A666FCB"/>
    <w:rsid w:val="4A7C2C5C"/>
    <w:rsid w:val="4A81E7B0"/>
    <w:rsid w:val="4A83D83A"/>
    <w:rsid w:val="4AABB2D3"/>
    <w:rsid w:val="4AE5B3D6"/>
    <w:rsid w:val="4AF55BEF"/>
    <w:rsid w:val="4AFCA2EE"/>
    <w:rsid w:val="4AFF9220"/>
    <w:rsid w:val="4B4A37B2"/>
    <w:rsid w:val="4B5BC806"/>
    <w:rsid w:val="4B5CCA62"/>
    <w:rsid w:val="4B6CB254"/>
    <w:rsid w:val="4BA07DBD"/>
    <w:rsid w:val="4BB44AE5"/>
    <w:rsid w:val="4BCD2AB7"/>
    <w:rsid w:val="4BF9E8CF"/>
    <w:rsid w:val="4BFA67DA"/>
    <w:rsid w:val="4C0AF784"/>
    <w:rsid w:val="4C417C3D"/>
    <w:rsid w:val="4C6938BA"/>
    <w:rsid w:val="4C75BEA1"/>
    <w:rsid w:val="4CACC5E2"/>
    <w:rsid w:val="4CD03E65"/>
    <w:rsid w:val="4CFA975C"/>
    <w:rsid w:val="4D0234F2"/>
    <w:rsid w:val="4D170320"/>
    <w:rsid w:val="4D1CE063"/>
    <w:rsid w:val="4D360E29"/>
    <w:rsid w:val="4D3CF50C"/>
    <w:rsid w:val="4D678F22"/>
    <w:rsid w:val="4D7574A5"/>
    <w:rsid w:val="4D7C1440"/>
    <w:rsid w:val="4D819B9B"/>
    <w:rsid w:val="4D82F27C"/>
    <w:rsid w:val="4D8DDB7A"/>
    <w:rsid w:val="4DBAF54E"/>
    <w:rsid w:val="4DD085D4"/>
    <w:rsid w:val="4DE0F614"/>
    <w:rsid w:val="4E0A40E5"/>
    <w:rsid w:val="4E1BD00F"/>
    <w:rsid w:val="4E1C2711"/>
    <w:rsid w:val="4E341638"/>
    <w:rsid w:val="4E34ED81"/>
    <w:rsid w:val="4E4D9454"/>
    <w:rsid w:val="4E617DB1"/>
    <w:rsid w:val="4E9368C8"/>
    <w:rsid w:val="4EB14BD3"/>
    <w:rsid w:val="4EBA3BD8"/>
    <w:rsid w:val="4EC19FC4"/>
    <w:rsid w:val="4EDB6C59"/>
    <w:rsid w:val="4EF5914A"/>
    <w:rsid w:val="4EF731A0"/>
    <w:rsid w:val="4F247594"/>
    <w:rsid w:val="4F34110E"/>
    <w:rsid w:val="4F389613"/>
    <w:rsid w:val="4F5384D3"/>
    <w:rsid w:val="4F7F1290"/>
    <w:rsid w:val="4FA49FFE"/>
    <w:rsid w:val="4FA79083"/>
    <w:rsid w:val="4FAC1B87"/>
    <w:rsid w:val="4FC0B3AF"/>
    <w:rsid w:val="4FC34DB3"/>
    <w:rsid w:val="4FC9CEF2"/>
    <w:rsid w:val="50297BAC"/>
    <w:rsid w:val="5035B4E5"/>
    <w:rsid w:val="504756DC"/>
    <w:rsid w:val="506031C5"/>
    <w:rsid w:val="50652AFB"/>
    <w:rsid w:val="506DAEEB"/>
    <w:rsid w:val="507AA9CF"/>
    <w:rsid w:val="50A7ED6C"/>
    <w:rsid w:val="50CA5392"/>
    <w:rsid w:val="50CEF504"/>
    <w:rsid w:val="50DB8D17"/>
    <w:rsid w:val="5105F58C"/>
    <w:rsid w:val="5109AB16"/>
    <w:rsid w:val="510B01E3"/>
    <w:rsid w:val="5137C697"/>
    <w:rsid w:val="5146B29A"/>
    <w:rsid w:val="514BEA5C"/>
    <w:rsid w:val="5165580C"/>
    <w:rsid w:val="51B0EDE4"/>
    <w:rsid w:val="51BF8541"/>
    <w:rsid w:val="51C318B0"/>
    <w:rsid w:val="51CE087F"/>
    <w:rsid w:val="51ECD1B2"/>
    <w:rsid w:val="51F17561"/>
    <w:rsid w:val="52087DE4"/>
    <w:rsid w:val="521D4937"/>
    <w:rsid w:val="52225930"/>
    <w:rsid w:val="5225F31D"/>
    <w:rsid w:val="523EBD50"/>
    <w:rsid w:val="52670E14"/>
    <w:rsid w:val="528E689F"/>
    <w:rsid w:val="5290CD87"/>
    <w:rsid w:val="5298B51A"/>
    <w:rsid w:val="52AC963F"/>
    <w:rsid w:val="52CA9275"/>
    <w:rsid w:val="52D0F75F"/>
    <w:rsid w:val="5314016D"/>
    <w:rsid w:val="532E7652"/>
    <w:rsid w:val="5335ED00"/>
    <w:rsid w:val="53387FCF"/>
    <w:rsid w:val="533A7A22"/>
    <w:rsid w:val="53918EC4"/>
    <w:rsid w:val="53A54FAD"/>
    <w:rsid w:val="53BF659E"/>
    <w:rsid w:val="53FBA5B9"/>
    <w:rsid w:val="5408A102"/>
    <w:rsid w:val="541E40DC"/>
    <w:rsid w:val="541FAB35"/>
    <w:rsid w:val="54275B68"/>
    <w:rsid w:val="546599CE"/>
    <w:rsid w:val="547BF4A5"/>
    <w:rsid w:val="548513D7"/>
    <w:rsid w:val="54878F6F"/>
    <w:rsid w:val="548E83DE"/>
    <w:rsid w:val="549348BB"/>
    <w:rsid w:val="54AB72A9"/>
    <w:rsid w:val="54D2A839"/>
    <w:rsid w:val="54F0E6E9"/>
    <w:rsid w:val="54F7E3EF"/>
    <w:rsid w:val="55070A95"/>
    <w:rsid w:val="5525DE14"/>
    <w:rsid w:val="5562EF36"/>
    <w:rsid w:val="55A1D628"/>
    <w:rsid w:val="55BF4998"/>
    <w:rsid w:val="55D19805"/>
    <w:rsid w:val="560E3F47"/>
    <w:rsid w:val="5629EB48"/>
    <w:rsid w:val="563242B0"/>
    <w:rsid w:val="566E5986"/>
    <w:rsid w:val="5673A422"/>
    <w:rsid w:val="5678E52D"/>
    <w:rsid w:val="56889944"/>
    <w:rsid w:val="56C300B8"/>
    <w:rsid w:val="56CDD050"/>
    <w:rsid w:val="56DFA46B"/>
    <w:rsid w:val="56E8DA3B"/>
    <w:rsid w:val="56F66EE8"/>
    <w:rsid w:val="56FD6499"/>
    <w:rsid w:val="570A2221"/>
    <w:rsid w:val="570F7760"/>
    <w:rsid w:val="5722E480"/>
    <w:rsid w:val="574B60BC"/>
    <w:rsid w:val="574CDB7C"/>
    <w:rsid w:val="575788AC"/>
    <w:rsid w:val="5777BC2E"/>
    <w:rsid w:val="5794CF67"/>
    <w:rsid w:val="57B82201"/>
    <w:rsid w:val="57BE1F76"/>
    <w:rsid w:val="57BEDFA8"/>
    <w:rsid w:val="57BEF14F"/>
    <w:rsid w:val="57C48BCD"/>
    <w:rsid w:val="57C6EC91"/>
    <w:rsid w:val="57D7AD28"/>
    <w:rsid w:val="57F2D12B"/>
    <w:rsid w:val="582A16EE"/>
    <w:rsid w:val="5837ACCD"/>
    <w:rsid w:val="583C70F0"/>
    <w:rsid w:val="588EF95B"/>
    <w:rsid w:val="58909B66"/>
    <w:rsid w:val="58A4773A"/>
    <w:rsid w:val="58A5D2AC"/>
    <w:rsid w:val="58CAD3F7"/>
    <w:rsid w:val="58DBB369"/>
    <w:rsid w:val="58EBB5C9"/>
    <w:rsid w:val="58F47DE1"/>
    <w:rsid w:val="58FBE427"/>
    <w:rsid w:val="590C5316"/>
    <w:rsid w:val="5914E5A4"/>
    <w:rsid w:val="59175E2C"/>
    <w:rsid w:val="5934AAC0"/>
    <w:rsid w:val="593FC2E3"/>
    <w:rsid w:val="594504A1"/>
    <w:rsid w:val="594E1CFE"/>
    <w:rsid w:val="5959EFD7"/>
    <w:rsid w:val="595AB009"/>
    <w:rsid w:val="59615553"/>
    <w:rsid w:val="59616064"/>
    <w:rsid w:val="596E754C"/>
    <w:rsid w:val="5990260A"/>
    <w:rsid w:val="599FD079"/>
    <w:rsid w:val="59A20BE1"/>
    <w:rsid w:val="59C2B589"/>
    <w:rsid w:val="59DB7F9A"/>
    <w:rsid w:val="59EFC48E"/>
    <w:rsid w:val="5A09D0F3"/>
    <w:rsid w:val="5A124FC0"/>
    <w:rsid w:val="5A23E96C"/>
    <w:rsid w:val="5A2B0F37"/>
    <w:rsid w:val="5A356D7D"/>
    <w:rsid w:val="5A36DAAC"/>
    <w:rsid w:val="5A56E983"/>
    <w:rsid w:val="5A72D928"/>
    <w:rsid w:val="5A78CD5A"/>
    <w:rsid w:val="5A8E6AC3"/>
    <w:rsid w:val="5A9039F0"/>
    <w:rsid w:val="5AA50FC1"/>
    <w:rsid w:val="5AAE2C69"/>
    <w:rsid w:val="5AAF5CF0"/>
    <w:rsid w:val="5AB39433"/>
    <w:rsid w:val="5ABA586D"/>
    <w:rsid w:val="5AC15B5C"/>
    <w:rsid w:val="5ADEC659"/>
    <w:rsid w:val="5AE04747"/>
    <w:rsid w:val="5AFFCD14"/>
    <w:rsid w:val="5B021A66"/>
    <w:rsid w:val="5B19ADFC"/>
    <w:rsid w:val="5B409E73"/>
    <w:rsid w:val="5B64E209"/>
    <w:rsid w:val="5B72A610"/>
    <w:rsid w:val="5B938E6C"/>
    <w:rsid w:val="5B9A030E"/>
    <w:rsid w:val="5BA03385"/>
    <w:rsid w:val="5BC31C1F"/>
    <w:rsid w:val="5BC6DF98"/>
    <w:rsid w:val="5BD47383"/>
    <w:rsid w:val="5C131095"/>
    <w:rsid w:val="5C2DAB38"/>
    <w:rsid w:val="5C471064"/>
    <w:rsid w:val="5C8E985E"/>
    <w:rsid w:val="5C975D45"/>
    <w:rsid w:val="5CA136A4"/>
    <w:rsid w:val="5CAC18D1"/>
    <w:rsid w:val="5CB02D25"/>
    <w:rsid w:val="5CC622D3"/>
    <w:rsid w:val="5CDBCC34"/>
    <w:rsid w:val="5CDE25B3"/>
    <w:rsid w:val="5CE66C6C"/>
    <w:rsid w:val="5CF493D4"/>
    <w:rsid w:val="5CFE3907"/>
    <w:rsid w:val="5D05ECEE"/>
    <w:rsid w:val="5D0B3051"/>
    <w:rsid w:val="5D2298E4"/>
    <w:rsid w:val="5D57D751"/>
    <w:rsid w:val="5D5CB9CE"/>
    <w:rsid w:val="5D85538C"/>
    <w:rsid w:val="5D88B44C"/>
    <w:rsid w:val="5D936FA2"/>
    <w:rsid w:val="5DB44B14"/>
    <w:rsid w:val="5DD144F5"/>
    <w:rsid w:val="5DD1688F"/>
    <w:rsid w:val="5DD7D180"/>
    <w:rsid w:val="5DF01BA4"/>
    <w:rsid w:val="5DF4B076"/>
    <w:rsid w:val="5E00260F"/>
    <w:rsid w:val="5E0F69EB"/>
    <w:rsid w:val="5E4DA816"/>
    <w:rsid w:val="5E506E20"/>
    <w:rsid w:val="5E654291"/>
    <w:rsid w:val="5EA7A3BC"/>
    <w:rsid w:val="5EBEA229"/>
    <w:rsid w:val="5EDD6CF0"/>
    <w:rsid w:val="5EE14C22"/>
    <w:rsid w:val="5EE69E68"/>
    <w:rsid w:val="5EE7E0B1"/>
    <w:rsid w:val="5EF81443"/>
    <w:rsid w:val="5F19B9D0"/>
    <w:rsid w:val="5F205F6C"/>
    <w:rsid w:val="5F31A21E"/>
    <w:rsid w:val="5F5FBBBB"/>
    <w:rsid w:val="5F726980"/>
    <w:rsid w:val="5F842728"/>
    <w:rsid w:val="5FB34229"/>
    <w:rsid w:val="5FCB14FD"/>
    <w:rsid w:val="5FDF10BB"/>
    <w:rsid w:val="5FF747DF"/>
    <w:rsid w:val="601F0087"/>
    <w:rsid w:val="60277C93"/>
    <w:rsid w:val="602E6A0A"/>
    <w:rsid w:val="60360279"/>
    <w:rsid w:val="6038DD1A"/>
    <w:rsid w:val="60422826"/>
    <w:rsid w:val="60461733"/>
    <w:rsid w:val="6058FE1E"/>
    <w:rsid w:val="606DE90E"/>
    <w:rsid w:val="6072985C"/>
    <w:rsid w:val="607AE7EE"/>
    <w:rsid w:val="607E5A04"/>
    <w:rsid w:val="609193AA"/>
    <w:rsid w:val="60A8E8B3"/>
    <w:rsid w:val="6102A9C2"/>
    <w:rsid w:val="61158BA6"/>
    <w:rsid w:val="61255739"/>
    <w:rsid w:val="6127BC66"/>
    <w:rsid w:val="6153D8B8"/>
    <w:rsid w:val="61653D16"/>
    <w:rsid w:val="6197827B"/>
    <w:rsid w:val="619C3945"/>
    <w:rsid w:val="61A85731"/>
    <w:rsid w:val="61B0BB8F"/>
    <w:rsid w:val="61CEB93B"/>
    <w:rsid w:val="61E1E794"/>
    <w:rsid w:val="61EA82D2"/>
    <w:rsid w:val="61ED7B26"/>
    <w:rsid w:val="61F1C6A2"/>
    <w:rsid w:val="61FD6B6E"/>
    <w:rsid w:val="62126167"/>
    <w:rsid w:val="622CAB19"/>
    <w:rsid w:val="623B794F"/>
    <w:rsid w:val="6257FCBF"/>
    <w:rsid w:val="6272CBA1"/>
    <w:rsid w:val="6278836C"/>
    <w:rsid w:val="628C6D97"/>
    <w:rsid w:val="628E2456"/>
    <w:rsid w:val="62A0EA6F"/>
    <w:rsid w:val="62A29F8D"/>
    <w:rsid w:val="62B4F3F6"/>
    <w:rsid w:val="62B6EAF0"/>
    <w:rsid w:val="62CB105B"/>
    <w:rsid w:val="62D56A1E"/>
    <w:rsid w:val="62F3ACB7"/>
    <w:rsid w:val="6316FDF8"/>
    <w:rsid w:val="6344B08A"/>
    <w:rsid w:val="63460551"/>
    <w:rsid w:val="636BE5A6"/>
    <w:rsid w:val="63AE52A7"/>
    <w:rsid w:val="63DA9239"/>
    <w:rsid w:val="63F49510"/>
    <w:rsid w:val="6409CDE6"/>
    <w:rsid w:val="64120625"/>
    <w:rsid w:val="642ABF0F"/>
    <w:rsid w:val="647D4BD1"/>
    <w:rsid w:val="6485BC50"/>
    <w:rsid w:val="64937BB6"/>
    <w:rsid w:val="650A21FB"/>
    <w:rsid w:val="65137293"/>
    <w:rsid w:val="65275CFC"/>
    <w:rsid w:val="65624A01"/>
    <w:rsid w:val="6568457B"/>
    <w:rsid w:val="6581303F"/>
    <w:rsid w:val="65909747"/>
    <w:rsid w:val="659A6998"/>
    <w:rsid w:val="65B4BD21"/>
    <w:rsid w:val="65B9E175"/>
    <w:rsid w:val="65BD80D1"/>
    <w:rsid w:val="65D57216"/>
    <w:rsid w:val="65D9D478"/>
    <w:rsid w:val="65D9FFC8"/>
    <w:rsid w:val="660D0AE0"/>
    <w:rsid w:val="661FC126"/>
    <w:rsid w:val="6635EEA5"/>
    <w:rsid w:val="66614181"/>
    <w:rsid w:val="66847578"/>
    <w:rsid w:val="668AFA9D"/>
    <w:rsid w:val="668CF7F6"/>
    <w:rsid w:val="66C96C67"/>
    <w:rsid w:val="670D7DEB"/>
    <w:rsid w:val="67161E0D"/>
    <w:rsid w:val="672720C9"/>
    <w:rsid w:val="674FD9E8"/>
    <w:rsid w:val="6757C9E2"/>
    <w:rsid w:val="676D76C6"/>
    <w:rsid w:val="67806C89"/>
    <w:rsid w:val="678DDFF8"/>
    <w:rsid w:val="67918AAF"/>
    <w:rsid w:val="67B0C376"/>
    <w:rsid w:val="67B46E4A"/>
    <w:rsid w:val="67CDAECF"/>
    <w:rsid w:val="67ED8E36"/>
    <w:rsid w:val="68117F7A"/>
    <w:rsid w:val="681522D2"/>
    <w:rsid w:val="6835D05A"/>
    <w:rsid w:val="68675A4E"/>
    <w:rsid w:val="68763658"/>
    <w:rsid w:val="68898AE8"/>
    <w:rsid w:val="689E05F2"/>
    <w:rsid w:val="68C7C29F"/>
    <w:rsid w:val="68D28636"/>
    <w:rsid w:val="68DA8297"/>
    <w:rsid w:val="68E48980"/>
    <w:rsid w:val="68E81FB7"/>
    <w:rsid w:val="690FE90F"/>
    <w:rsid w:val="6942760F"/>
    <w:rsid w:val="69516484"/>
    <w:rsid w:val="696A0B59"/>
    <w:rsid w:val="696E5698"/>
    <w:rsid w:val="698B40E5"/>
    <w:rsid w:val="6999E28E"/>
    <w:rsid w:val="69BD2D20"/>
    <w:rsid w:val="69E984EE"/>
    <w:rsid w:val="6A14334D"/>
    <w:rsid w:val="6A33D6CA"/>
    <w:rsid w:val="6A3A504C"/>
    <w:rsid w:val="6A3CC984"/>
    <w:rsid w:val="6A4D81C0"/>
    <w:rsid w:val="6A8DA291"/>
    <w:rsid w:val="6AA886B2"/>
    <w:rsid w:val="6AE135A9"/>
    <w:rsid w:val="6AE425C8"/>
    <w:rsid w:val="6AE71D60"/>
    <w:rsid w:val="6AEB5626"/>
    <w:rsid w:val="6B11571E"/>
    <w:rsid w:val="6B271EB9"/>
    <w:rsid w:val="6B33CF9A"/>
    <w:rsid w:val="6B4E65AE"/>
    <w:rsid w:val="6B4EC287"/>
    <w:rsid w:val="6B513626"/>
    <w:rsid w:val="6B684F03"/>
    <w:rsid w:val="6B6A74E4"/>
    <w:rsid w:val="6B8D90B5"/>
    <w:rsid w:val="6BC4FB09"/>
    <w:rsid w:val="6C089D16"/>
    <w:rsid w:val="6C2570E0"/>
    <w:rsid w:val="6C32341D"/>
    <w:rsid w:val="6C5AB956"/>
    <w:rsid w:val="6C5AC075"/>
    <w:rsid w:val="6C97732E"/>
    <w:rsid w:val="6C9A7BEB"/>
    <w:rsid w:val="6CA7ADBE"/>
    <w:rsid w:val="6CAD277F"/>
    <w:rsid w:val="6CAD3AED"/>
    <w:rsid w:val="6CB798D8"/>
    <w:rsid w:val="6CCE9649"/>
    <w:rsid w:val="6CE02B3F"/>
    <w:rsid w:val="6CE48D31"/>
    <w:rsid w:val="6CF66294"/>
    <w:rsid w:val="6CFF3D30"/>
    <w:rsid w:val="6D04E12D"/>
    <w:rsid w:val="6D0597E5"/>
    <w:rsid w:val="6D16AD51"/>
    <w:rsid w:val="6D2B9FCF"/>
    <w:rsid w:val="6D32978E"/>
    <w:rsid w:val="6D8A517E"/>
    <w:rsid w:val="6D8CA659"/>
    <w:rsid w:val="6D9E15B1"/>
    <w:rsid w:val="6DA766CC"/>
    <w:rsid w:val="6DBE59C9"/>
    <w:rsid w:val="6DE21EF9"/>
    <w:rsid w:val="6E020E56"/>
    <w:rsid w:val="6E08F1F9"/>
    <w:rsid w:val="6E251DA3"/>
    <w:rsid w:val="6E41634C"/>
    <w:rsid w:val="6E4592AD"/>
    <w:rsid w:val="6E490B4E"/>
    <w:rsid w:val="6E75FB16"/>
    <w:rsid w:val="6E8796B6"/>
    <w:rsid w:val="6EBEF9DC"/>
    <w:rsid w:val="6ECEED54"/>
    <w:rsid w:val="6ED91965"/>
    <w:rsid w:val="6EF33A9C"/>
    <w:rsid w:val="6F09DEA6"/>
    <w:rsid w:val="6F0C7C1C"/>
    <w:rsid w:val="6F2F4EB4"/>
    <w:rsid w:val="6F352DAA"/>
    <w:rsid w:val="6F47A08B"/>
    <w:rsid w:val="6F7398D4"/>
    <w:rsid w:val="6F8D4F31"/>
    <w:rsid w:val="6F90FA1C"/>
    <w:rsid w:val="6F97FF4D"/>
    <w:rsid w:val="6FB1D480"/>
    <w:rsid w:val="6FB887E1"/>
    <w:rsid w:val="6FBED801"/>
    <w:rsid w:val="6FCB02A4"/>
    <w:rsid w:val="70036902"/>
    <w:rsid w:val="70063133"/>
    <w:rsid w:val="700C2144"/>
    <w:rsid w:val="701DB8A8"/>
    <w:rsid w:val="703EC078"/>
    <w:rsid w:val="7068F3BE"/>
    <w:rsid w:val="70AA3BC3"/>
    <w:rsid w:val="70ACB85F"/>
    <w:rsid w:val="70B86643"/>
    <w:rsid w:val="70B8CA7E"/>
    <w:rsid w:val="70BE77AF"/>
    <w:rsid w:val="70C9DACE"/>
    <w:rsid w:val="70D7BD35"/>
    <w:rsid w:val="70F893DE"/>
    <w:rsid w:val="711156A0"/>
    <w:rsid w:val="713B2FCD"/>
    <w:rsid w:val="7152D294"/>
    <w:rsid w:val="719747E5"/>
    <w:rsid w:val="719E82B2"/>
    <w:rsid w:val="71C101FC"/>
    <w:rsid w:val="71D08BB7"/>
    <w:rsid w:val="723A4CBD"/>
    <w:rsid w:val="723D9E25"/>
    <w:rsid w:val="7292FC56"/>
    <w:rsid w:val="72A5A6F5"/>
    <w:rsid w:val="72BEBD97"/>
    <w:rsid w:val="72DAE691"/>
    <w:rsid w:val="72DE765E"/>
    <w:rsid w:val="72DEEF83"/>
    <w:rsid w:val="72F7A9FA"/>
    <w:rsid w:val="72F92561"/>
    <w:rsid w:val="731AB5BD"/>
    <w:rsid w:val="731C31E8"/>
    <w:rsid w:val="731FD530"/>
    <w:rsid w:val="732BAD37"/>
    <w:rsid w:val="733F96F0"/>
    <w:rsid w:val="7345DF9F"/>
    <w:rsid w:val="737CBFA7"/>
    <w:rsid w:val="73A2C4E6"/>
    <w:rsid w:val="73B70635"/>
    <w:rsid w:val="73D6A5B4"/>
    <w:rsid w:val="74085A2B"/>
    <w:rsid w:val="74120747"/>
    <w:rsid w:val="74388284"/>
    <w:rsid w:val="74429FD2"/>
    <w:rsid w:val="746ED40B"/>
    <w:rsid w:val="74745086"/>
    <w:rsid w:val="74B225B4"/>
    <w:rsid w:val="74BEBCEF"/>
    <w:rsid w:val="74C68425"/>
    <w:rsid w:val="74E55370"/>
    <w:rsid w:val="74F1DF8A"/>
    <w:rsid w:val="74F90D06"/>
    <w:rsid w:val="7515F812"/>
    <w:rsid w:val="75409F55"/>
    <w:rsid w:val="7552EE50"/>
    <w:rsid w:val="7558FB77"/>
    <w:rsid w:val="7583D4AA"/>
    <w:rsid w:val="758E62CF"/>
    <w:rsid w:val="75A629A5"/>
    <w:rsid w:val="75AEAC07"/>
    <w:rsid w:val="75D7C7E7"/>
    <w:rsid w:val="75F88F09"/>
    <w:rsid w:val="761020E7"/>
    <w:rsid w:val="76193D50"/>
    <w:rsid w:val="76345CAA"/>
    <w:rsid w:val="76395458"/>
    <w:rsid w:val="7639FE00"/>
    <w:rsid w:val="763A7551"/>
    <w:rsid w:val="764F638F"/>
    <w:rsid w:val="7674D5FD"/>
    <w:rsid w:val="768DE58F"/>
    <w:rsid w:val="76C51B6D"/>
    <w:rsid w:val="76C8EC21"/>
    <w:rsid w:val="76D3DC13"/>
    <w:rsid w:val="76DBADA1"/>
    <w:rsid w:val="76E2CDF7"/>
    <w:rsid w:val="76ED1CEE"/>
    <w:rsid w:val="76F45834"/>
    <w:rsid w:val="7716F19D"/>
    <w:rsid w:val="77781767"/>
    <w:rsid w:val="777A301B"/>
    <w:rsid w:val="778B3C78"/>
    <w:rsid w:val="77A4F93F"/>
    <w:rsid w:val="77B6D2A9"/>
    <w:rsid w:val="77E827AD"/>
    <w:rsid w:val="77EEC371"/>
    <w:rsid w:val="780A63E3"/>
    <w:rsid w:val="782EF679"/>
    <w:rsid w:val="78314236"/>
    <w:rsid w:val="784E6A2A"/>
    <w:rsid w:val="78631683"/>
    <w:rsid w:val="78904A4B"/>
    <w:rsid w:val="7894DFD9"/>
    <w:rsid w:val="789705CA"/>
    <w:rsid w:val="78B7ADB8"/>
    <w:rsid w:val="78D7958C"/>
    <w:rsid w:val="78DB75D5"/>
    <w:rsid w:val="7909FB30"/>
    <w:rsid w:val="791065A4"/>
    <w:rsid w:val="79288D12"/>
    <w:rsid w:val="792D7C19"/>
    <w:rsid w:val="795D8924"/>
    <w:rsid w:val="796168BB"/>
    <w:rsid w:val="7962BCF2"/>
    <w:rsid w:val="79645531"/>
    <w:rsid w:val="79879080"/>
    <w:rsid w:val="79A1ADD4"/>
    <w:rsid w:val="79B99FDE"/>
    <w:rsid w:val="79D889B7"/>
    <w:rsid w:val="79FC43FB"/>
    <w:rsid w:val="7A344868"/>
    <w:rsid w:val="7A355DC5"/>
    <w:rsid w:val="7A628282"/>
    <w:rsid w:val="7A8D39B2"/>
    <w:rsid w:val="7A8FFCBD"/>
    <w:rsid w:val="7AA1583A"/>
    <w:rsid w:val="7AA4AB94"/>
    <w:rsid w:val="7AE3920A"/>
    <w:rsid w:val="7B00A170"/>
    <w:rsid w:val="7B0F98FC"/>
    <w:rsid w:val="7B2039B3"/>
    <w:rsid w:val="7B2E3439"/>
    <w:rsid w:val="7B4F262D"/>
    <w:rsid w:val="7B5CF8CD"/>
    <w:rsid w:val="7B69442C"/>
    <w:rsid w:val="7B782C9F"/>
    <w:rsid w:val="7BA52E2E"/>
    <w:rsid w:val="7BA7696A"/>
    <w:rsid w:val="7BBE4D7F"/>
    <w:rsid w:val="7BCD626C"/>
    <w:rsid w:val="7BE1F54B"/>
    <w:rsid w:val="7BF29A3B"/>
    <w:rsid w:val="7C012088"/>
    <w:rsid w:val="7C0ACDDB"/>
    <w:rsid w:val="7C89F665"/>
    <w:rsid w:val="7C95C681"/>
    <w:rsid w:val="7CA53D06"/>
    <w:rsid w:val="7CADD314"/>
    <w:rsid w:val="7CB7C2D2"/>
    <w:rsid w:val="7CC8934C"/>
    <w:rsid w:val="7CC8AF00"/>
    <w:rsid w:val="7D254965"/>
    <w:rsid w:val="7D25F52D"/>
    <w:rsid w:val="7D325E1F"/>
    <w:rsid w:val="7D520F7B"/>
    <w:rsid w:val="7D5B2D6D"/>
    <w:rsid w:val="7D6BBC1B"/>
    <w:rsid w:val="7D94F08B"/>
    <w:rsid w:val="7DB3A03D"/>
    <w:rsid w:val="7DB59802"/>
    <w:rsid w:val="7DC8699D"/>
    <w:rsid w:val="7E06133C"/>
    <w:rsid w:val="7E09EFF3"/>
    <w:rsid w:val="7E0C5305"/>
    <w:rsid w:val="7E1FA8BE"/>
    <w:rsid w:val="7E3877C7"/>
    <w:rsid w:val="7E4C3162"/>
    <w:rsid w:val="7E7C17E9"/>
    <w:rsid w:val="7E9CE385"/>
    <w:rsid w:val="7E9E4BD8"/>
    <w:rsid w:val="7EB7C9C6"/>
    <w:rsid w:val="7EEA5CD6"/>
    <w:rsid w:val="7EEF38F1"/>
    <w:rsid w:val="7EF6846E"/>
    <w:rsid w:val="7EF9F531"/>
    <w:rsid w:val="7EFB624D"/>
    <w:rsid w:val="7EFF3F04"/>
    <w:rsid w:val="7F29D451"/>
    <w:rsid w:val="7F77D5E2"/>
    <w:rsid w:val="7F8E7447"/>
    <w:rsid w:val="7FB48F11"/>
    <w:rsid w:val="7FC70707"/>
    <w:rsid w:val="7FFBD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7DE0"/>
  <w15:chartTrackingRefBased/>
  <w15:docId w15:val="{1AAC0134-E305-4750-A754-BBF32344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3D5"/>
    <w:pPr>
      <w:spacing w:line="259" w:lineRule="auto"/>
      <w:jc w:val="left"/>
    </w:pPr>
  </w:style>
  <w:style w:type="paragraph" w:styleId="Heading1">
    <w:name w:val="heading 1"/>
    <w:basedOn w:val="Normal"/>
    <w:next w:val="Normal"/>
    <w:link w:val="Heading1Char"/>
    <w:uiPriority w:val="9"/>
    <w:qFormat/>
    <w:rsid w:val="00DD3CD6"/>
    <w:pPr>
      <w:keepNext/>
      <w:keepLines/>
      <w:numPr>
        <w:numId w:val="4"/>
      </w:numPr>
      <w:spacing w:before="240" w:after="120" w:line="276"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DA0433"/>
    <w:pPr>
      <w:keepNext/>
      <w:keepLines/>
      <w:numPr>
        <w:ilvl w:val="1"/>
        <w:numId w:val="4"/>
      </w:numPr>
      <w:spacing w:before="240" w:after="120" w:line="276" w:lineRule="auto"/>
      <w:outlineLvl w:val="1"/>
    </w:pPr>
    <w:rPr>
      <w:rFonts w:asciiTheme="majorHAnsi" w:eastAsiaTheme="majorEastAsia" w:hAnsiTheme="majorHAnsi" w:cstheme="majorBidi"/>
      <w:b/>
      <w:bCs/>
      <w:sz w:val="28"/>
      <w:szCs w:val="32"/>
    </w:rPr>
  </w:style>
  <w:style w:type="paragraph" w:styleId="Heading3">
    <w:name w:val="heading 3"/>
    <w:basedOn w:val="Normal"/>
    <w:next w:val="Normal"/>
    <w:link w:val="Heading3Char"/>
    <w:uiPriority w:val="9"/>
    <w:unhideWhenUsed/>
    <w:qFormat/>
    <w:rsid w:val="00D820B0"/>
    <w:pPr>
      <w:keepNext/>
      <w:keepLines/>
      <w:numPr>
        <w:ilvl w:val="2"/>
        <w:numId w:val="4"/>
      </w:numPr>
      <w:tabs>
        <w:tab w:val="left" w:pos="567"/>
      </w:tabs>
      <w:spacing w:before="120" w:after="120" w:line="276" w:lineRule="auto"/>
      <w:outlineLvl w:val="2"/>
    </w:pPr>
    <w:rPr>
      <w:rFonts w:asciiTheme="majorHAnsi" w:eastAsiaTheme="majorEastAsia" w:hAnsiTheme="majorHAnsi" w:cstheme="majorBidi"/>
      <w:b/>
      <w:bCs/>
      <w:color w:val="404040" w:themeColor="text1" w:themeTint="BF"/>
      <w:szCs w:val="28"/>
    </w:rPr>
  </w:style>
  <w:style w:type="paragraph" w:styleId="Heading4">
    <w:name w:val="heading 4"/>
    <w:basedOn w:val="Normal"/>
    <w:next w:val="Normal"/>
    <w:link w:val="Heading4Char"/>
    <w:uiPriority w:val="9"/>
    <w:unhideWhenUsed/>
    <w:qFormat/>
    <w:rsid w:val="007B0647"/>
    <w:pPr>
      <w:keepNext/>
      <w:keepLines/>
      <w:numPr>
        <w:ilvl w:val="3"/>
        <w:numId w:val="4"/>
      </w:numPr>
      <w:spacing w:before="120" w:after="120" w:line="276" w:lineRule="auto"/>
      <w:outlineLvl w:val="3"/>
    </w:pPr>
    <w:rPr>
      <w:rFonts w:asciiTheme="majorHAnsi" w:eastAsia="Arial" w:hAnsiTheme="majorHAnsi" w:cstheme="majorBidi"/>
      <w:bCs/>
      <w:color w:val="276944" w:themeColor="accent2"/>
      <w:u w:val="single"/>
    </w:rPr>
  </w:style>
  <w:style w:type="paragraph" w:styleId="Heading5">
    <w:name w:val="heading 5"/>
    <w:basedOn w:val="Normal"/>
    <w:next w:val="Normal"/>
    <w:link w:val="Heading5Char"/>
    <w:uiPriority w:val="9"/>
    <w:unhideWhenUsed/>
    <w:qFormat/>
    <w:rsid w:val="00CD0298"/>
    <w:pPr>
      <w:keepNext/>
      <w:keepLines/>
      <w:numPr>
        <w:ilvl w:val="4"/>
        <w:numId w:val="4"/>
      </w:numPr>
      <w:spacing w:before="120" w:line="276" w:lineRule="auto"/>
      <w:outlineLvl w:val="4"/>
    </w:pPr>
    <w:rPr>
      <w:rFonts w:asciiTheme="majorHAnsi" w:eastAsiaTheme="majorEastAsia" w:hAnsiTheme="majorHAnsi" w:cstheme="majorBidi"/>
      <w:iCs/>
      <w:color w:val="402956" w:themeColor="accent1"/>
    </w:rPr>
  </w:style>
  <w:style w:type="paragraph" w:styleId="Heading6">
    <w:name w:val="heading 6"/>
    <w:basedOn w:val="Normal"/>
    <w:next w:val="Normal"/>
    <w:link w:val="Heading6Char"/>
    <w:uiPriority w:val="9"/>
    <w:unhideWhenUsed/>
    <w:qFormat/>
    <w:rsid w:val="005C198D"/>
    <w:pPr>
      <w:keepNext/>
      <w:keepLines/>
      <w:numPr>
        <w:ilvl w:val="5"/>
        <w:numId w:val="5"/>
      </w:numPr>
      <w:spacing w:before="120" w:line="276" w:lineRule="auto"/>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A866DC"/>
    <w:pPr>
      <w:numPr>
        <w:numId w:val="6"/>
      </w:numPr>
      <w:tabs>
        <w:tab w:val="left" w:pos="360"/>
        <w:tab w:val="left" w:pos="1080"/>
        <w:tab w:val="left" w:pos="1800"/>
        <w:tab w:val="left" w:pos="3240"/>
      </w:tabs>
    </w:pPr>
  </w:style>
  <w:style w:type="paragraph" w:styleId="Footer">
    <w:name w:val="footer"/>
    <w:basedOn w:val="Normal"/>
    <w:link w:val="FooterChar"/>
    <w:uiPriority w:val="99"/>
    <w:qFormat/>
    <w:rsid w:val="00A866DC"/>
    <w:pPr>
      <w:tabs>
        <w:tab w:val="center" w:pos="4153"/>
        <w:tab w:val="right" w:pos="8306"/>
      </w:tabs>
    </w:pPr>
  </w:style>
  <w:style w:type="character" w:customStyle="1" w:styleId="FooterChar">
    <w:name w:val="Footer Char"/>
    <w:basedOn w:val="DefaultParagraphFont"/>
    <w:link w:val="Footer"/>
    <w:uiPriority w:val="99"/>
    <w:rsid w:val="00A866DC"/>
  </w:style>
  <w:style w:type="character" w:customStyle="1" w:styleId="Heading1Char">
    <w:name w:val="Heading 1 Char"/>
    <w:basedOn w:val="DefaultParagraphFont"/>
    <w:link w:val="Heading1"/>
    <w:uiPriority w:val="9"/>
    <w:rsid w:val="00DD3CD6"/>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DA0433"/>
    <w:rPr>
      <w:rFonts w:asciiTheme="majorHAnsi" w:eastAsiaTheme="majorEastAsia" w:hAnsiTheme="majorHAnsi" w:cstheme="majorBidi"/>
      <w:b/>
      <w:bCs/>
      <w:sz w:val="28"/>
      <w:szCs w:val="32"/>
    </w:rPr>
  </w:style>
  <w:style w:type="character" w:customStyle="1" w:styleId="Heading3Char">
    <w:name w:val="Heading 3 Char"/>
    <w:basedOn w:val="DefaultParagraphFont"/>
    <w:link w:val="Heading3"/>
    <w:uiPriority w:val="9"/>
    <w:rsid w:val="00D820B0"/>
    <w:rPr>
      <w:rFonts w:asciiTheme="majorHAnsi" w:eastAsiaTheme="majorEastAsia" w:hAnsiTheme="majorHAnsi" w:cstheme="majorBidi"/>
      <w:b/>
      <w:bCs/>
      <w:color w:val="404040" w:themeColor="text1" w:themeTint="BF"/>
      <w:szCs w:val="28"/>
    </w:rPr>
  </w:style>
  <w:style w:type="paragraph" w:styleId="Subtitle">
    <w:name w:val="Subtitle"/>
    <w:basedOn w:val="Normal"/>
    <w:next w:val="Normal"/>
    <w:link w:val="SubtitleChar"/>
    <w:qFormat/>
    <w:rsid w:val="0088510B"/>
    <w:pPr>
      <w:numPr>
        <w:ilvl w:val="1"/>
      </w:numPr>
      <w:spacing w:after="160"/>
    </w:pPr>
    <w:rPr>
      <w:rFonts w:eastAsiaTheme="minorEastAsia"/>
      <w:bCs/>
      <w:sz w:val="52"/>
      <w:szCs w:val="22"/>
    </w:rPr>
  </w:style>
  <w:style w:type="character" w:customStyle="1" w:styleId="SubtitleChar">
    <w:name w:val="Subtitle Char"/>
    <w:basedOn w:val="DefaultParagraphFont"/>
    <w:link w:val="Subtitle"/>
    <w:rsid w:val="0088510B"/>
    <w:rPr>
      <w:rFonts w:eastAsiaTheme="minorEastAsia"/>
      <w:bCs/>
      <w:sz w:val="52"/>
      <w:szCs w:val="22"/>
    </w:rPr>
  </w:style>
  <w:style w:type="paragraph" w:customStyle="1" w:styleId="TinyHeading">
    <w:name w:val="Tiny Heading"/>
    <w:basedOn w:val="Heading2"/>
    <w:next w:val="Normal"/>
    <w:link w:val="TinyHeadingChar"/>
    <w:autoRedefine/>
    <w:rsid w:val="00A6562D"/>
    <w:rPr>
      <w:b w:val="0"/>
      <w:szCs w:val="22"/>
    </w:rPr>
  </w:style>
  <w:style w:type="character" w:customStyle="1" w:styleId="TinyHeadingChar">
    <w:name w:val="Tiny Heading Char"/>
    <w:basedOn w:val="DefaultParagraphFont"/>
    <w:link w:val="TinyHeading"/>
    <w:rsid w:val="00A6562D"/>
    <w:rPr>
      <w:rFonts w:asciiTheme="majorHAnsi" w:eastAsiaTheme="majorEastAsia" w:hAnsiTheme="majorHAnsi" w:cstheme="majorBidi"/>
      <w:bCs/>
      <w:color w:val="276944" w:themeColor="accent2"/>
      <w:sz w:val="28"/>
      <w:szCs w:val="22"/>
    </w:rPr>
  </w:style>
  <w:style w:type="paragraph" w:styleId="Caption">
    <w:name w:val="caption"/>
    <w:basedOn w:val="Normal"/>
    <w:next w:val="Normal"/>
    <w:uiPriority w:val="35"/>
    <w:unhideWhenUsed/>
    <w:rsid w:val="00A456DA"/>
    <w:pPr>
      <w:spacing w:after="120"/>
    </w:pPr>
    <w:rPr>
      <w:iCs/>
      <w:color w:val="276944" w:themeColor="accent2"/>
      <w:szCs w:val="18"/>
    </w:rPr>
  </w:style>
  <w:style w:type="character" w:styleId="Strong">
    <w:name w:val="Strong"/>
    <w:basedOn w:val="DefaultParagraphFont"/>
    <w:uiPriority w:val="22"/>
    <w:rsid w:val="00A866DC"/>
    <w:rPr>
      <w:b/>
      <w:bCs/>
    </w:rPr>
  </w:style>
  <w:style w:type="paragraph" w:styleId="NoSpacing">
    <w:name w:val="No Spacing"/>
    <w:link w:val="NoSpacingChar"/>
    <w:uiPriority w:val="1"/>
    <w:rsid w:val="00A866DC"/>
    <w:rPr>
      <w:rFonts w:eastAsiaTheme="minorEastAsia"/>
      <w:lang w:val="en-US"/>
    </w:rPr>
  </w:style>
  <w:style w:type="character" w:customStyle="1" w:styleId="NoSpacingChar">
    <w:name w:val="No Spacing Char"/>
    <w:basedOn w:val="DefaultParagraphFont"/>
    <w:link w:val="NoSpacing"/>
    <w:uiPriority w:val="1"/>
    <w:rsid w:val="00A866DC"/>
    <w:rPr>
      <w:rFonts w:eastAsiaTheme="minorEastAsia"/>
      <w:lang w:val="en-US"/>
    </w:rPr>
  </w:style>
  <w:style w:type="paragraph" w:styleId="ListParagraph">
    <w:name w:val="List Paragraph"/>
    <w:aliases w:val="Bullet 1,Bullet Points,Bullet Style,Colorful List - Accent 11,Dot pt,F5 List Paragraph,Indicator Text,L,List Paragraph Char Char Char,List Paragraph1,List Paragraph11,List Paragraph12,MAIN CONTENT,No Spacing1,Numbered Para 1,OBC Bullet"/>
    <w:basedOn w:val="Normal"/>
    <w:link w:val="ListParagraphChar"/>
    <w:uiPriority w:val="34"/>
    <w:qFormat/>
    <w:rsid w:val="00FB5D36"/>
    <w:pPr>
      <w:ind w:left="720"/>
      <w:contextualSpacing/>
    </w:pPr>
  </w:style>
  <w:style w:type="paragraph" w:customStyle="1" w:styleId="FirstParagraph">
    <w:name w:val="First Paragraph"/>
    <w:basedOn w:val="Normal"/>
    <w:next w:val="Normal"/>
    <w:qFormat/>
    <w:rsid w:val="005C198D"/>
    <w:pPr>
      <w:spacing w:before="120" w:line="276" w:lineRule="auto"/>
    </w:pPr>
    <w:rPr>
      <w:rFonts w:ascii="Arial" w:hAnsi="Arial" w:cs="Arial"/>
      <w:b/>
      <w:noProof/>
      <w:szCs w:val="22"/>
    </w:rPr>
  </w:style>
  <w:style w:type="paragraph" w:customStyle="1" w:styleId="Compact">
    <w:name w:val="Compact"/>
    <w:basedOn w:val="Normal"/>
    <w:qFormat/>
    <w:rsid w:val="005C198D"/>
    <w:pPr>
      <w:spacing w:line="276" w:lineRule="auto"/>
    </w:pPr>
    <w:rPr>
      <w:rFonts w:ascii="Arial" w:hAnsi="Arial" w:cs="Arial"/>
      <w:noProof/>
      <w:sz w:val="20"/>
      <w:szCs w:val="20"/>
    </w:rPr>
  </w:style>
  <w:style w:type="paragraph" w:customStyle="1" w:styleId="Author">
    <w:name w:val="Author"/>
    <w:next w:val="Normal"/>
    <w:qFormat/>
    <w:rsid w:val="005C198D"/>
    <w:pPr>
      <w:keepNext/>
      <w:keepLines/>
      <w:spacing w:line="276" w:lineRule="auto"/>
      <w:jc w:val="right"/>
    </w:pPr>
    <w:rPr>
      <w:b/>
      <w:sz w:val="20"/>
    </w:rPr>
  </w:style>
  <w:style w:type="paragraph" w:customStyle="1" w:styleId="Abstract">
    <w:name w:val="Abstract"/>
    <w:basedOn w:val="Normal"/>
    <w:next w:val="Normal"/>
    <w:qFormat/>
    <w:rsid w:val="005C198D"/>
    <w:pPr>
      <w:keepNext/>
      <w:keepLines/>
      <w:spacing w:before="300" w:after="300"/>
    </w:pPr>
    <w:rPr>
      <w:sz w:val="20"/>
      <w:szCs w:val="20"/>
    </w:rPr>
  </w:style>
  <w:style w:type="paragraph" w:customStyle="1" w:styleId="WhiteHeading1">
    <w:name w:val="White Heading 1"/>
    <w:basedOn w:val="Normal"/>
    <w:link w:val="WhiteHeading1Char"/>
    <w:qFormat/>
    <w:rsid w:val="005C198D"/>
    <w:pPr>
      <w:framePr w:w="9015" w:wrap="notBeside" w:vAnchor="text" w:hAnchor="margin" w:y="1"/>
      <w:pBdr>
        <w:top w:val="single" w:sz="4" w:space="4" w:color="402956" w:themeColor="accent1"/>
        <w:left w:val="single" w:sz="4" w:space="4" w:color="402956" w:themeColor="accent1"/>
        <w:bottom w:val="single" w:sz="4" w:space="0" w:color="402956" w:themeColor="accent1"/>
        <w:right w:val="single" w:sz="4" w:space="4" w:color="402956" w:themeColor="accent1"/>
      </w:pBdr>
      <w:shd w:val="clear" w:color="auto" w:fill="402956" w:themeFill="accent1"/>
      <w:spacing w:before="240" w:after="120"/>
    </w:pPr>
    <w:rPr>
      <w:rFonts w:ascii="Arial" w:hAnsi="Arial" w:cs="Arial"/>
      <w:b/>
      <w:noProof/>
      <w:color w:val="FFFFFF" w:themeColor="background1"/>
      <w:sz w:val="28"/>
    </w:rPr>
  </w:style>
  <w:style w:type="character" w:customStyle="1" w:styleId="WhiteHeading1Char">
    <w:name w:val="White Heading 1 Char"/>
    <w:basedOn w:val="DefaultParagraphFont"/>
    <w:link w:val="WhiteHeading1"/>
    <w:rsid w:val="005C198D"/>
    <w:rPr>
      <w:rFonts w:ascii="Arial" w:hAnsi="Arial" w:cs="Arial"/>
      <w:b/>
      <w:noProof/>
      <w:color w:val="FFFFFF" w:themeColor="background1"/>
      <w:sz w:val="28"/>
      <w:shd w:val="clear" w:color="auto" w:fill="402956" w:themeFill="accent1"/>
    </w:rPr>
  </w:style>
  <w:style w:type="paragraph" w:customStyle="1" w:styleId="WhiteHeading2">
    <w:name w:val="White Heading 2"/>
    <w:basedOn w:val="WhiteHeading1"/>
    <w:next w:val="Normal"/>
    <w:link w:val="WhiteHeading2Char"/>
    <w:qFormat/>
    <w:rsid w:val="005C198D"/>
    <w:pPr>
      <w:framePr w:wrap="notBeside"/>
      <w:pBdr>
        <w:top w:val="single" w:sz="4" w:space="4" w:color="245266" w:themeColor="accent3"/>
        <w:left w:val="single" w:sz="4" w:space="4" w:color="245266" w:themeColor="accent3"/>
        <w:bottom w:val="single" w:sz="4" w:space="0" w:color="245266" w:themeColor="accent3"/>
        <w:right w:val="single" w:sz="4" w:space="4" w:color="245266" w:themeColor="accent3"/>
      </w:pBdr>
      <w:shd w:val="clear" w:color="auto" w:fill="245266" w:themeFill="accent3"/>
    </w:pPr>
  </w:style>
  <w:style w:type="character" w:customStyle="1" w:styleId="WhiteHeading2Char">
    <w:name w:val="White Heading 2 Char"/>
    <w:basedOn w:val="WhiteHeading1Char"/>
    <w:link w:val="WhiteHeading2"/>
    <w:rsid w:val="005C198D"/>
    <w:rPr>
      <w:rFonts w:ascii="Arial" w:hAnsi="Arial" w:cs="Arial"/>
      <w:b/>
      <w:noProof/>
      <w:color w:val="FFFFFF" w:themeColor="background1"/>
      <w:sz w:val="28"/>
      <w:shd w:val="clear" w:color="auto" w:fill="245266" w:themeFill="accent3"/>
    </w:rPr>
  </w:style>
  <w:style w:type="character" w:customStyle="1" w:styleId="Heading4Char">
    <w:name w:val="Heading 4 Char"/>
    <w:basedOn w:val="DefaultParagraphFont"/>
    <w:link w:val="Heading4"/>
    <w:uiPriority w:val="9"/>
    <w:rsid w:val="007B0647"/>
    <w:rPr>
      <w:rFonts w:asciiTheme="majorHAnsi" w:eastAsia="Arial" w:hAnsiTheme="majorHAnsi" w:cstheme="majorBidi"/>
      <w:bCs/>
      <w:color w:val="276944" w:themeColor="accent2"/>
      <w:u w:val="single"/>
    </w:rPr>
  </w:style>
  <w:style w:type="character" w:customStyle="1" w:styleId="Heading5Char">
    <w:name w:val="Heading 5 Char"/>
    <w:basedOn w:val="DefaultParagraphFont"/>
    <w:link w:val="Heading5"/>
    <w:uiPriority w:val="9"/>
    <w:rsid w:val="00CD0298"/>
    <w:rPr>
      <w:rFonts w:asciiTheme="majorHAnsi" w:eastAsiaTheme="majorEastAsia" w:hAnsiTheme="majorHAnsi" w:cstheme="majorBidi"/>
      <w:iCs/>
      <w:color w:val="402956" w:themeColor="accent1"/>
    </w:rPr>
  </w:style>
  <w:style w:type="character" w:customStyle="1" w:styleId="Heading6Char">
    <w:name w:val="Heading 6 Char"/>
    <w:basedOn w:val="DefaultParagraphFont"/>
    <w:link w:val="Heading6"/>
    <w:uiPriority w:val="9"/>
    <w:rsid w:val="005C198D"/>
    <w:rPr>
      <w:rFonts w:asciiTheme="majorHAnsi" w:eastAsiaTheme="majorEastAsia" w:hAnsiTheme="majorHAnsi" w:cstheme="majorBidi"/>
    </w:rPr>
  </w:style>
  <w:style w:type="paragraph" w:styleId="FootnoteText">
    <w:name w:val="footnote text"/>
    <w:aliases w:val="Char Char,Char5 Char,Char5,Footnote Text Char Char,Footnote Text Char1 Char Char,Footnote Text Char Char Char Char,Footnote Text Char1 Char Char Char Char,Footnote Char Char Char Char Char,fn,Footnote,Footnote Text1 Char"/>
    <w:basedOn w:val="Normal"/>
    <w:link w:val="FootnoteTextChar"/>
    <w:uiPriority w:val="99"/>
    <w:unhideWhenUsed/>
    <w:qFormat/>
    <w:rsid w:val="00DB7A33"/>
  </w:style>
  <w:style w:type="character" w:customStyle="1" w:styleId="FootnoteTextChar">
    <w:name w:val="Footnote Text Char"/>
    <w:aliases w:val="Char Char Char,Char5 Char Char,Char5 Char1,Footnote Text Char Char Char,Footnote Text Char1 Char Char Char,Footnote Text Char Char Char Char Char,Footnote Text Char1 Char Char Char Char Char,Footnote Char Char Char Char Char Char"/>
    <w:basedOn w:val="DefaultParagraphFont"/>
    <w:link w:val="FootnoteText"/>
    <w:uiPriority w:val="99"/>
    <w:rsid w:val="00DB7A33"/>
  </w:style>
  <w:style w:type="paragraph" w:styleId="Title">
    <w:name w:val="Title"/>
    <w:basedOn w:val="Normal"/>
    <w:next w:val="Normal"/>
    <w:link w:val="TitleChar"/>
    <w:qFormat/>
    <w:rsid w:val="0088510B"/>
    <w:pPr>
      <w:spacing w:line="276" w:lineRule="auto"/>
      <w:contextualSpacing/>
    </w:pPr>
    <w:rPr>
      <w:rFonts w:eastAsiaTheme="majorEastAsia" w:cstheme="minorHAnsi"/>
      <w:b/>
      <w:color w:val="276944" w:themeColor="accent2"/>
      <w:spacing w:val="-10"/>
      <w:kern w:val="28"/>
      <w:sz w:val="96"/>
      <w:szCs w:val="56"/>
    </w:rPr>
  </w:style>
  <w:style w:type="character" w:customStyle="1" w:styleId="TitleChar">
    <w:name w:val="Title Char"/>
    <w:basedOn w:val="DefaultParagraphFont"/>
    <w:link w:val="Title"/>
    <w:rsid w:val="0088510B"/>
    <w:rPr>
      <w:rFonts w:eastAsiaTheme="majorEastAsia" w:cstheme="minorHAnsi"/>
      <w:b/>
      <w:color w:val="276944" w:themeColor="accent2"/>
      <w:spacing w:val="-10"/>
      <w:kern w:val="28"/>
      <w:sz w:val="96"/>
      <w:szCs w:val="56"/>
    </w:rPr>
  </w:style>
  <w:style w:type="paragraph" w:styleId="Date">
    <w:name w:val="Date"/>
    <w:basedOn w:val="Author"/>
    <w:next w:val="Normal"/>
    <w:link w:val="DateChar"/>
    <w:qFormat/>
    <w:rsid w:val="005C198D"/>
    <w:rPr>
      <w:b w:val="0"/>
    </w:rPr>
  </w:style>
  <w:style w:type="character" w:customStyle="1" w:styleId="DateChar">
    <w:name w:val="Date Char"/>
    <w:basedOn w:val="DefaultParagraphFont"/>
    <w:link w:val="Date"/>
    <w:rsid w:val="005C198D"/>
    <w:rPr>
      <w:sz w:val="20"/>
    </w:rPr>
  </w:style>
  <w:style w:type="paragraph" w:styleId="BlockText">
    <w:name w:val="Block Text"/>
    <w:basedOn w:val="Normal"/>
    <w:next w:val="Normal"/>
    <w:uiPriority w:val="9"/>
    <w:unhideWhenUsed/>
    <w:qFormat/>
    <w:rsid w:val="005C198D"/>
    <w:pPr>
      <w:spacing w:before="100" w:after="100" w:line="276" w:lineRule="auto"/>
    </w:pPr>
    <w:rPr>
      <w:rFonts w:asciiTheme="majorHAnsi" w:eastAsiaTheme="majorEastAsia" w:hAnsiTheme="majorHAnsi" w:cstheme="majorBidi"/>
      <w:bCs/>
      <w:noProof/>
      <w:sz w:val="20"/>
      <w:szCs w:val="20"/>
    </w:rPr>
  </w:style>
  <w:style w:type="paragraph" w:styleId="Bibliography">
    <w:name w:val="Bibliography"/>
    <w:basedOn w:val="Normal"/>
    <w:qFormat/>
    <w:rsid w:val="005C198D"/>
  </w:style>
  <w:style w:type="paragraph" w:customStyle="1" w:styleId="WhiteHeading3">
    <w:name w:val="White Heading 3"/>
    <w:basedOn w:val="WhiteHeading2"/>
    <w:next w:val="Normal"/>
    <w:qFormat/>
    <w:rsid w:val="005C198D"/>
    <w:pPr>
      <w:framePr w:wrap="notBeside"/>
      <w:pBdr>
        <w:top w:val="single" w:sz="4" w:space="4" w:color="276944" w:themeColor="accent2"/>
        <w:left w:val="single" w:sz="4" w:space="4" w:color="276944" w:themeColor="accent2"/>
        <w:bottom w:val="single" w:sz="4" w:space="0" w:color="276944" w:themeColor="accent2"/>
        <w:right w:val="single" w:sz="4" w:space="4" w:color="276944" w:themeColor="accent2"/>
      </w:pBdr>
      <w:shd w:val="clear" w:color="auto" w:fill="276944" w:themeFill="accent2"/>
    </w:pPr>
    <w:rPr>
      <w:rFonts w:asciiTheme="minorHAnsi" w:hAnsiTheme="minorHAnsi" w:cstheme="minorBidi"/>
      <w:noProof w:val="0"/>
    </w:rPr>
  </w:style>
  <w:style w:type="character" w:styleId="Hyperlink">
    <w:name w:val="Hyperlink"/>
    <w:basedOn w:val="DefaultParagraphFont"/>
    <w:uiPriority w:val="99"/>
    <w:unhideWhenUsed/>
    <w:rsid w:val="00866ED4"/>
    <w:rPr>
      <w:rFonts w:asciiTheme="minorHAnsi" w:hAnsiTheme="minorHAnsi" w:cs="Times New Roman" w:hint="default"/>
      <w:color w:val="276944" w:themeColor="accent2"/>
      <w:sz w:val="24"/>
      <w:u w:val="single"/>
    </w:rPr>
  </w:style>
  <w:style w:type="character" w:styleId="FootnoteReference">
    <w:name w:val="footnote reference"/>
    <w:aliases w:val="IC Footnote Reference,SUPERS,Footnote symbol,Footnote reference number,Times 10 Point,Exposant 3 Point,Ref,de nota al pie,note TESI,EN Footnote Reference,stylish,-E Fußnotenzeichen,number,BVI fnr,Footnote Reference Superscript,4_G"/>
    <w:basedOn w:val="DefaultParagraphFont"/>
    <w:uiPriority w:val="99"/>
    <w:unhideWhenUsed/>
    <w:rsid w:val="006158EB"/>
    <w:rPr>
      <w:rFonts w:ascii="Times New Roman" w:hAnsi="Times New Roman" w:cs="Times New Roman" w:hint="default"/>
      <w:sz w:val="22"/>
      <w:vertAlign w:val="superscript"/>
    </w:rPr>
  </w:style>
  <w:style w:type="character" w:styleId="FollowedHyperlink">
    <w:name w:val="FollowedHyperlink"/>
    <w:basedOn w:val="DefaultParagraphFont"/>
    <w:uiPriority w:val="99"/>
    <w:semiHidden/>
    <w:unhideWhenUsed/>
    <w:rsid w:val="00FB5D36"/>
    <w:rPr>
      <w:color w:val="402956" w:themeColor="followedHyperlink"/>
      <w:u w:val="single"/>
    </w:rPr>
  </w:style>
  <w:style w:type="table" w:styleId="TableGrid">
    <w:name w:val="Table Grid"/>
    <w:basedOn w:val="TableNormal"/>
    <w:uiPriority w:val="39"/>
    <w:rsid w:val="0098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A19B7"/>
    <w:pPr>
      <w:tabs>
        <w:tab w:val="center" w:pos="4513"/>
        <w:tab w:val="right" w:pos="9026"/>
      </w:tabs>
      <w:spacing w:line="240" w:lineRule="auto"/>
    </w:pPr>
  </w:style>
  <w:style w:type="character" w:customStyle="1" w:styleId="HeaderChar">
    <w:name w:val="Header Char"/>
    <w:basedOn w:val="DefaultParagraphFont"/>
    <w:link w:val="Header"/>
    <w:rsid w:val="00EA19B7"/>
  </w:style>
  <w:style w:type="character" w:styleId="CommentReference">
    <w:name w:val="annotation reference"/>
    <w:basedOn w:val="DefaultParagraphFont"/>
    <w:uiPriority w:val="99"/>
    <w:unhideWhenUsed/>
    <w:rsid w:val="00E66CE4"/>
    <w:rPr>
      <w:sz w:val="16"/>
      <w:szCs w:val="16"/>
    </w:rPr>
  </w:style>
  <w:style w:type="paragraph" w:styleId="CommentText">
    <w:name w:val="annotation text"/>
    <w:basedOn w:val="Normal"/>
    <w:link w:val="CommentTextChar"/>
    <w:uiPriority w:val="99"/>
    <w:unhideWhenUsed/>
    <w:rsid w:val="00E66CE4"/>
    <w:pPr>
      <w:spacing w:after="160" w:line="240" w:lineRule="auto"/>
    </w:pPr>
    <w:rPr>
      <w:sz w:val="20"/>
      <w:szCs w:val="20"/>
    </w:rPr>
  </w:style>
  <w:style w:type="character" w:customStyle="1" w:styleId="CommentTextChar">
    <w:name w:val="Comment Text Char"/>
    <w:basedOn w:val="DefaultParagraphFont"/>
    <w:link w:val="CommentText"/>
    <w:uiPriority w:val="99"/>
    <w:rsid w:val="00E66CE4"/>
    <w:rPr>
      <w:sz w:val="20"/>
      <w:szCs w:val="20"/>
    </w:rPr>
  </w:style>
  <w:style w:type="character" w:styleId="UnresolvedMention">
    <w:name w:val="Unresolved Mention"/>
    <w:basedOn w:val="DefaultParagraphFont"/>
    <w:uiPriority w:val="99"/>
    <w:semiHidden/>
    <w:unhideWhenUsed/>
    <w:rsid w:val="005C5254"/>
    <w:rPr>
      <w:color w:val="605E5C"/>
      <w:shd w:val="clear" w:color="auto" w:fill="E1DFDD"/>
    </w:rPr>
  </w:style>
  <w:style w:type="character" w:styleId="PlaceholderText">
    <w:name w:val="Placeholder Text"/>
    <w:basedOn w:val="DefaultParagraphFont"/>
    <w:uiPriority w:val="99"/>
    <w:semiHidden/>
    <w:rsid w:val="00E73531"/>
    <w:rPr>
      <w:color w:val="808080"/>
    </w:rPr>
  </w:style>
  <w:style w:type="paragraph" w:styleId="TOCHeading">
    <w:name w:val="TOC Heading"/>
    <w:basedOn w:val="Heading1"/>
    <w:next w:val="Normal"/>
    <w:uiPriority w:val="39"/>
    <w:unhideWhenUsed/>
    <w:qFormat/>
    <w:rsid w:val="00A55A93"/>
    <w:pPr>
      <w:spacing w:after="0" w:line="259" w:lineRule="auto"/>
      <w:outlineLvl w:val="9"/>
    </w:pPr>
    <w:rPr>
      <w:b w:val="0"/>
      <w:bCs w:val="0"/>
      <w:color w:val="2F1E40" w:themeColor="accent1" w:themeShade="BF"/>
      <w:lang w:eastAsia="en-GB"/>
    </w:rPr>
  </w:style>
  <w:style w:type="paragraph" w:styleId="TOC1">
    <w:name w:val="toc 1"/>
    <w:basedOn w:val="Normal"/>
    <w:next w:val="Normal"/>
    <w:autoRedefine/>
    <w:uiPriority w:val="39"/>
    <w:unhideWhenUsed/>
    <w:rsid w:val="002A0386"/>
    <w:pPr>
      <w:tabs>
        <w:tab w:val="left" w:pos="720"/>
        <w:tab w:val="right" w:leader="dot" w:pos="9736"/>
      </w:tabs>
      <w:spacing w:before="120"/>
      <w:ind w:left="227"/>
    </w:pPr>
    <w:rPr>
      <w:rFonts w:asciiTheme="majorHAnsi" w:hAnsiTheme="majorHAnsi" w:cstheme="majorHAnsi"/>
      <w:bCs/>
      <w:sz w:val="28"/>
    </w:rPr>
  </w:style>
  <w:style w:type="paragraph" w:styleId="TOC2">
    <w:name w:val="toc 2"/>
    <w:basedOn w:val="Normal"/>
    <w:next w:val="Normal"/>
    <w:autoRedefine/>
    <w:uiPriority w:val="39"/>
    <w:unhideWhenUsed/>
    <w:rsid w:val="00A55A93"/>
    <w:pPr>
      <w:spacing w:before="240"/>
    </w:pPr>
    <w:rPr>
      <w:rFonts w:cstheme="minorHAnsi"/>
      <w:b/>
      <w:bCs/>
      <w:sz w:val="20"/>
      <w:szCs w:val="20"/>
    </w:rPr>
  </w:style>
  <w:style w:type="paragraph" w:styleId="TOC3">
    <w:name w:val="toc 3"/>
    <w:basedOn w:val="Normal"/>
    <w:next w:val="Normal"/>
    <w:autoRedefine/>
    <w:uiPriority w:val="39"/>
    <w:unhideWhenUsed/>
    <w:rsid w:val="00A55A93"/>
    <w:pPr>
      <w:ind w:left="240"/>
    </w:pPr>
    <w:rPr>
      <w:rFonts w:cstheme="minorHAnsi"/>
      <w:sz w:val="20"/>
      <w:szCs w:val="20"/>
    </w:rPr>
  </w:style>
  <w:style w:type="paragraph" w:styleId="TOC4">
    <w:name w:val="toc 4"/>
    <w:basedOn w:val="Normal"/>
    <w:next w:val="Normal"/>
    <w:autoRedefine/>
    <w:uiPriority w:val="39"/>
    <w:unhideWhenUsed/>
    <w:rsid w:val="00BC5B28"/>
    <w:pPr>
      <w:ind w:left="480"/>
    </w:pPr>
    <w:rPr>
      <w:rFonts w:cstheme="minorHAnsi"/>
      <w:sz w:val="20"/>
      <w:szCs w:val="20"/>
    </w:rPr>
  </w:style>
  <w:style w:type="paragraph" w:styleId="TOC5">
    <w:name w:val="toc 5"/>
    <w:basedOn w:val="Normal"/>
    <w:next w:val="Normal"/>
    <w:autoRedefine/>
    <w:uiPriority w:val="39"/>
    <w:unhideWhenUsed/>
    <w:rsid w:val="00BC5B28"/>
    <w:pPr>
      <w:ind w:left="720"/>
    </w:pPr>
    <w:rPr>
      <w:rFonts w:cstheme="minorHAnsi"/>
      <w:sz w:val="20"/>
      <w:szCs w:val="20"/>
    </w:rPr>
  </w:style>
  <w:style w:type="paragraph" w:styleId="TOC6">
    <w:name w:val="toc 6"/>
    <w:basedOn w:val="Normal"/>
    <w:next w:val="Normal"/>
    <w:autoRedefine/>
    <w:uiPriority w:val="39"/>
    <w:unhideWhenUsed/>
    <w:rsid w:val="00BC5B28"/>
    <w:pPr>
      <w:ind w:left="960"/>
    </w:pPr>
    <w:rPr>
      <w:rFonts w:cstheme="minorHAnsi"/>
      <w:sz w:val="20"/>
      <w:szCs w:val="20"/>
    </w:rPr>
  </w:style>
  <w:style w:type="paragraph" w:styleId="TOC7">
    <w:name w:val="toc 7"/>
    <w:basedOn w:val="Normal"/>
    <w:next w:val="Normal"/>
    <w:autoRedefine/>
    <w:uiPriority w:val="39"/>
    <w:unhideWhenUsed/>
    <w:rsid w:val="00BC5B28"/>
    <w:pPr>
      <w:ind w:left="1200"/>
    </w:pPr>
    <w:rPr>
      <w:rFonts w:cstheme="minorHAnsi"/>
      <w:sz w:val="20"/>
      <w:szCs w:val="20"/>
    </w:rPr>
  </w:style>
  <w:style w:type="paragraph" w:styleId="TOC8">
    <w:name w:val="toc 8"/>
    <w:basedOn w:val="Normal"/>
    <w:next w:val="Normal"/>
    <w:autoRedefine/>
    <w:uiPriority w:val="39"/>
    <w:unhideWhenUsed/>
    <w:rsid w:val="00BC5B28"/>
    <w:pPr>
      <w:ind w:left="1440"/>
    </w:pPr>
    <w:rPr>
      <w:rFonts w:cstheme="minorHAnsi"/>
      <w:sz w:val="20"/>
      <w:szCs w:val="20"/>
    </w:rPr>
  </w:style>
  <w:style w:type="paragraph" w:styleId="TOC9">
    <w:name w:val="toc 9"/>
    <w:basedOn w:val="Normal"/>
    <w:next w:val="Normal"/>
    <w:autoRedefine/>
    <w:uiPriority w:val="39"/>
    <w:unhideWhenUsed/>
    <w:rsid w:val="00BC5B28"/>
    <w:pPr>
      <w:ind w:left="16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ED23F3"/>
    <w:pPr>
      <w:spacing w:after="0"/>
    </w:pPr>
    <w:rPr>
      <w:b/>
      <w:bCs/>
    </w:rPr>
  </w:style>
  <w:style w:type="character" w:customStyle="1" w:styleId="CommentSubjectChar">
    <w:name w:val="Comment Subject Char"/>
    <w:basedOn w:val="CommentTextChar"/>
    <w:link w:val="CommentSubject"/>
    <w:uiPriority w:val="99"/>
    <w:semiHidden/>
    <w:rsid w:val="00ED23F3"/>
    <w:rPr>
      <w:b/>
      <w:bCs/>
      <w:sz w:val="20"/>
      <w:szCs w:val="20"/>
    </w:rPr>
  </w:style>
  <w:style w:type="character" w:customStyle="1" w:styleId="ListParagraphChar">
    <w:name w:val="List Paragraph Char"/>
    <w:aliases w:val="Bullet 1 Char,Bullet Points Char,Bullet Style Char,Colorful List - Accent 11 Char,Dot pt Char,F5 List Paragraph Char,Indicator Text Char,L Char,List Paragraph Char Char Char Char,List Paragraph1 Char,List Paragraph11 Char"/>
    <w:link w:val="ListParagraph"/>
    <w:uiPriority w:val="34"/>
    <w:qFormat/>
    <w:locked/>
    <w:rsid w:val="00175397"/>
  </w:style>
  <w:style w:type="paragraph" w:styleId="Revision">
    <w:name w:val="Revision"/>
    <w:hidden/>
    <w:uiPriority w:val="99"/>
    <w:semiHidden/>
    <w:rsid w:val="007D0D07"/>
    <w:pPr>
      <w:jc w:val="left"/>
    </w:pPr>
  </w:style>
  <w:style w:type="paragraph" w:customStyle="1" w:styleId="EBBodyPara">
    <w:name w:val="EBBodyPara"/>
    <w:basedOn w:val="BodyText"/>
    <w:rsid w:val="00280B90"/>
    <w:pPr>
      <w:spacing w:line="240" w:lineRule="auto"/>
    </w:pPr>
    <w:rPr>
      <w:rFonts w:ascii="Arial" w:eastAsia="Times New Roman" w:hAnsi="Arial" w:cs="Arial"/>
      <w:bCs/>
      <w:color w:val="000000"/>
      <w:sz w:val="22"/>
      <w:szCs w:val="22"/>
      <w:lang w:eastAsia="en-GB"/>
    </w:rPr>
  </w:style>
  <w:style w:type="paragraph" w:styleId="BodyText">
    <w:name w:val="Body Text"/>
    <w:basedOn w:val="Normal"/>
    <w:link w:val="BodyTextChar"/>
    <w:semiHidden/>
    <w:unhideWhenUsed/>
    <w:qFormat/>
    <w:rsid w:val="00280B90"/>
    <w:pPr>
      <w:spacing w:after="120"/>
    </w:pPr>
  </w:style>
  <w:style w:type="character" w:customStyle="1" w:styleId="BodyTextChar">
    <w:name w:val="Body Text Char"/>
    <w:basedOn w:val="DefaultParagraphFont"/>
    <w:link w:val="BodyText"/>
    <w:semiHidden/>
    <w:rsid w:val="0028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5673">
      <w:bodyDiv w:val="1"/>
      <w:marLeft w:val="0"/>
      <w:marRight w:val="0"/>
      <w:marTop w:val="0"/>
      <w:marBottom w:val="0"/>
      <w:divBdr>
        <w:top w:val="none" w:sz="0" w:space="0" w:color="auto"/>
        <w:left w:val="none" w:sz="0" w:space="0" w:color="auto"/>
        <w:bottom w:val="none" w:sz="0" w:space="0" w:color="auto"/>
        <w:right w:val="none" w:sz="0" w:space="0" w:color="auto"/>
      </w:divBdr>
    </w:div>
    <w:div w:id="176192091">
      <w:bodyDiv w:val="1"/>
      <w:marLeft w:val="0"/>
      <w:marRight w:val="0"/>
      <w:marTop w:val="0"/>
      <w:marBottom w:val="0"/>
      <w:divBdr>
        <w:top w:val="none" w:sz="0" w:space="0" w:color="auto"/>
        <w:left w:val="none" w:sz="0" w:space="0" w:color="auto"/>
        <w:bottom w:val="none" w:sz="0" w:space="0" w:color="auto"/>
        <w:right w:val="none" w:sz="0" w:space="0" w:color="auto"/>
      </w:divBdr>
    </w:div>
    <w:div w:id="368185559">
      <w:bodyDiv w:val="1"/>
      <w:marLeft w:val="0"/>
      <w:marRight w:val="0"/>
      <w:marTop w:val="0"/>
      <w:marBottom w:val="0"/>
      <w:divBdr>
        <w:top w:val="none" w:sz="0" w:space="0" w:color="auto"/>
        <w:left w:val="none" w:sz="0" w:space="0" w:color="auto"/>
        <w:bottom w:val="none" w:sz="0" w:space="0" w:color="auto"/>
        <w:right w:val="none" w:sz="0" w:space="0" w:color="auto"/>
      </w:divBdr>
    </w:div>
    <w:div w:id="464472275">
      <w:bodyDiv w:val="1"/>
      <w:marLeft w:val="0"/>
      <w:marRight w:val="0"/>
      <w:marTop w:val="0"/>
      <w:marBottom w:val="0"/>
      <w:divBdr>
        <w:top w:val="none" w:sz="0" w:space="0" w:color="auto"/>
        <w:left w:val="none" w:sz="0" w:space="0" w:color="auto"/>
        <w:bottom w:val="none" w:sz="0" w:space="0" w:color="auto"/>
        <w:right w:val="none" w:sz="0" w:space="0" w:color="auto"/>
      </w:divBdr>
    </w:div>
    <w:div w:id="480119454">
      <w:bodyDiv w:val="1"/>
      <w:marLeft w:val="0"/>
      <w:marRight w:val="0"/>
      <w:marTop w:val="0"/>
      <w:marBottom w:val="0"/>
      <w:divBdr>
        <w:top w:val="none" w:sz="0" w:space="0" w:color="auto"/>
        <w:left w:val="none" w:sz="0" w:space="0" w:color="auto"/>
        <w:bottom w:val="none" w:sz="0" w:space="0" w:color="auto"/>
        <w:right w:val="none" w:sz="0" w:space="0" w:color="auto"/>
      </w:divBdr>
    </w:div>
    <w:div w:id="507213796">
      <w:bodyDiv w:val="1"/>
      <w:marLeft w:val="0"/>
      <w:marRight w:val="0"/>
      <w:marTop w:val="0"/>
      <w:marBottom w:val="0"/>
      <w:divBdr>
        <w:top w:val="none" w:sz="0" w:space="0" w:color="auto"/>
        <w:left w:val="none" w:sz="0" w:space="0" w:color="auto"/>
        <w:bottom w:val="none" w:sz="0" w:space="0" w:color="auto"/>
        <w:right w:val="none" w:sz="0" w:space="0" w:color="auto"/>
      </w:divBdr>
    </w:div>
    <w:div w:id="565796833">
      <w:bodyDiv w:val="1"/>
      <w:marLeft w:val="0"/>
      <w:marRight w:val="0"/>
      <w:marTop w:val="0"/>
      <w:marBottom w:val="0"/>
      <w:divBdr>
        <w:top w:val="none" w:sz="0" w:space="0" w:color="auto"/>
        <w:left w:val="none" w:sz="0" w:space="0" w:color="auto"/>
        <w:bottom w:val="none" w:sz="0" w:space="0" w:color="auto"/>
        <w:right w:val="none" w:sz="0" w:space="0" w:color="auto"/>
      </w:divBdr>
    </w:div>
    <w:div w:id="764809722">
      <w:bodyDiv w:val="1"/>
      <w:marLeft w:val="0"/>
      <w:marRight w:val="0"/>
      <w:marTop w:val="0"/>
      <w:marBottom w:val="0"/>
      <w:divBdr>
        <w:top w:val="none" w:sz="0" w:space="0" w:color="auto"/>
        <w:left w:val="none" w:sz="0" w:space="0" w:color="auto"/>
        <w:bottom w:val="none" w:sz="0" w:space="0" w:color="auto"/>
        <w:right w:val="none" w:sz="0" w:space="0" w:color="auto"/>
      </w:divBdr>
    </w:div>
    <w:div w:id="788815589">
      <w:bodyDiv w:val="1"/>
      <w:marLeft w:val="0"/>
      <w:marRight w:val="0"/>
      <w:marTop w:val="0"/>
      <w:marBottom w:val="0"/>
      <w:divBdr>
        <w:top w:val="none" w:sz="0" w:space="0" w:color="auto"/>
        <w:left w:val="none" w:sz="0" w:space="0" w:color="auto"/>
        <w:bottom w:val="none" w:sz="0" w:space="0" w:color="auto"/>
        <w:right w:val="none" w:sz="0" w:space="0" w:color="auto"/>
      </w:divBdr>
    </w:div>
    <w:div w:id="911355848">
      <w:bodyDiv w:val="1"/>
      <w:marLeft w:val="0"/>
      <w:marRight w:val="0"/>
      <w:marTop w:val="0"/>
      <w:marBottom w:val="0"/>
      <w:divBdr>
        <w:top w:val="none" w:sz="0" w:space="0" w:color="auto"/>
        <w:left w:val="none" w:sz="0" w:space="0" w:color="auto"/>
        <w:bottom w:val="none" w:sz="0" w:space="0" w:color="auto"/>
        <w:right w:val="none" w:sz="0" w:space="0" w:color="auto"/>
      </w:divBdr>
    </w:div>
    <w:div w:id="1098217010">
      <w:bodyDiv w:val="1"/>
      <w:marLeft w:val="0"/>
      <w:marRight w:val="0"/>
      <w:marTop w:val="0"/>
      <w:marBottom w:val="0"/>
      <w:divBdr>
        <w:top w:val="none" w:sz="0" w:space="0" w:color="auto"/>
        <w:left w:val="none" w:sz="0" w:space="0" w:color="auto"/>
        <w:bottom w:val="none" w:sz="0" w:space="0" w:color="auto"/>
        <w:right w:val="none" w:sz="0" w:space="0" w:color="auto"/>
      </w:divBdr>
    </w:div>
    <w:div w:id="1104881268">
      <w:bodyDiv w:val="1"/>
      <w:marLeft w:val="0"/>
      <w:marRight w:val="0"/>
      <w:marTop w:val="0"/>
      <w:marBottom w:val="0"/>
      <w:divBdr>
        <w:top w:val="none" w:sz="0" w:space="0" w:color="auto"/>
        <w:left w:val="none" w:sz="0" w:space="0" w:color="auto"/>
        <w:bottom w:val="none" w:sz="0" w:space="0" w:color="auto"/>
        <w:right w:val="none" w:sz="0" w:space="0" w:color="auto"/>
      </w:divBdr>
    </w:div>
    <w:div w:id="1214731483">
      <w:bodyDiv w:val="1"/>
      <w:marLeft w:val="0"/>
      <w:marRight w:val="0"/>
      <w:marTop w:val="0"/>
      <w:marBottom w:val="0"/>
      <w:divBdr>
        <w:top w:val="none" w:sz="0" w:space="0" w:color="auto"/>
        <w:left w:val="none" w:sz="0" w:space="0" w:color="auto"/>
        <w:bottom w:val="none" w:sz="0" w:space="0" w:color="auto"/>
        <w:right w:val="none" w:sz="0" w:space="0" w:color="auto"/>
      </w:divBdr>
    </w:div>
    <w:div w:id="1372534064">
      <w:bodyDiv w:val="1"/>
      <w:marLeft w:val="0"/>
      <w:marRight w:val="0"/>
      <w:marTop w:val="0"/>
      <w:marBottom w:val="0"/>
      <w:divBdr>
        <w:top w:val="none" w:sz="0" w:space="0" w:color="auto"/>
        <w:left w:val="none" w:sz="0" w:space="0" w:color="auto"/>
        <w:bottom w:val="none" w:sz="0" w:space="0" w:color="auto"/>
        <w:right w:val="none" w:sz="0" w:space="0" w:color="auto"/>
      </w:divBdr>
    </w:div>
    <w:div w:id="1609118737">
      <w:bodyDiv w:val="1"/>
      <w:marLeft w:val="0"/>
      <w:marRight w:val="0"/>
      <w:marTop w:val="0"/>
      <w:marBottom w:val="0"/>
      <w:divBdr>
        <w:top w:val="none" w:sz="0" w:space="0" w:color="auto"/>
        <w:left w:val="none" w:sz="0" w:space="0" w:color="auto"/>
        <w:bottom w:val="none" w:sz="0" w:space="0" w:color="auto"/>
        <w:right w:val="none" w:sz="0" w:space="0" w:color="auto"/>
      </w:divBdr>
    </w:div>
    <w:div w:id="1611431301">
      <w:bodyDiv w:val="1"/>
      <w:marLeft w:val="0"/>
      <w:marRight w:val="0"/>
      <w:marTop w:val="0"/>
      <w:marBottom w:val="0"/>
      <w:divBdr>
        <w:top w:val="none" w:sz="0" w:space="0" w:color="auto"/>
        <w:left w:val="none" w:sz="0" w:space="0" w:color="auto"/>
        <w:bottom w:val="none" w:sz="0" w:space="0" w:color="auto"/>
        <w:right w:val="none" w:sz="0" w:space="0" w:color="auto"/>
      </w:divBdr>
    </w:div>
    <w:div w:id="1844515327">
      <w:bodyDiv w:val="1"/>
      <w:marLeft w:val="0"/>
      <w:marRight w:val="0"/>
      <w:marTop w:val="0"/>
      <w:marBottom w:val="0"/>
      <w:divBdr>
        <w:top w:val="none" w:sz="0" w:space="0" w:color="auto"/>
        <w:left w:val="none" w:sz="0" w:space="0" w:color="auto"/>
        <w:bottom w:val="none" w:sz="0" w:space="0" w:color="auto"/>
        <w:right w:val="none" w:sz="0" w:space="0" w:color="auto"/>
      </w:divBdr>
    </w:div>
    <w:div w:id="1848519730">
      <w:bodyDiv w:val="1"/>
      <w:marLeft w:val="0"/>
      <w:marRight w:val="0"/>
      <w:marTop w:val="0"/>
      <w:marBottom w:val="0"/>
      <w:divBdr>
        <w:top w:val="none" w:sz="0" w:space="0" w:color="auto"/>
        <w:left w:val="none" w:sz="0" w:space="0" w:color="auto"/>
        <w:bottom w:val="none" w:sz="0" w:space="0" w:color="auto"/>
        <w:right w:val="none" w:sz="0" w:space="0" w:color="auto"/>
      </w:divBdr>
    </w:div>
    <w:div w:id="1896043436">
      <w:bodyDiv w:val="1"/>
      <w:marLeft w:val="0"/>
      <w:marRight w:val="0"/>
      <w:marTop w:val="0"/>
      <w:marBottom w:val="0"/>
      <w:divBdr>
        <w:top w:val="none" w:sz="0" w:space="0" w:color="auto"/>
        <w:left w:val="none" w:sz="0" w:space="0" w:color="auto"/>
        <w:bottom w:val="none" w:sz="0" w:space="0" w:color="auto"/>
        <w:right w:val="none" w:sz="0" w:space="0" w:color="auto"/>
      </w:divBdr>
    </w:div>
    <w:div w:id="19809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00431-011-1492-8" TargetMode="External"/><Relationship Id="rId18" Type="http://schemas.openxmlformats.org/officeDocument/2006/relationships/hyperlink" Target="https://academic.oup.com/jn/article/143/1/59/4569794" TargetMode="External"/><Relationship Id="rId26" Type="http://schemas.openxmlformats.org/officeDocument/2006/relationships/hyperlink" Target="https://www.england.nhs.uk/publication/national-tariff-payment-system-documents-annexes-and-supporting-documents/" TargetMode="External"/><Relationship Id="rId39" Type="http://schemas.openxmlformats.org/officeDocument/2006/relationships/hyperlink" Target="https://www.ons.gov.uk/employmentandlabourmarket/peopleinwork/earningsandworkinghours/bulletins/indexoflabourcostsperhourilch/julytoseptember2020" TargetMode="External"/><Relationship Id="rId21" Type="http://schemas.openxmlformats.org/officeDocument/2006/relationships/hyperlink" Target="https://www.sciencedirect.com/science/article/abs/pii/S0033350613003983?via%3Dihub" TargetMode="External"/><Relationship Id="rId34" Type="http://schemas.openxmlformats.org/officeDocument/2006/relationships/hyperlink" Target="https://www.ncbi.nlm.nih.gov/pmc/articles/PMC4468887/" TargetMode="External"/><Relationship Id="rId42" Type="http://schemas.openxmlformats.org/officeDocument/2006/relationships/hyperlink" Target="https://www.ons.gov.uk/businessindustryandtrade/business/activitysizeandlocation/adhocs/14402foodmanufacturingbyregion" TargetMode="Externa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he-green-book-appraisal-and-evaluation-in-central-governent/the-green-book-2020" TargetMode="External"/><Relationship Id="rId29" Type="http://schemas.openxmlformats.org/officeDocument/2006/relationships/hyperlink" Target="https://www.gov.scot/publications/scotlands-labour-market-people-places-regions-protected-characteristics-statistics-annual-population-survey-2021/pages/8/" TargetMode="External"/><Relationship Id="rId11" Type="http://schemas.openxmlformats.org/officeDocument/2006/relationships/hyperlink" Target="https://www.gov.uk/government/consultations/amending-the-bread-and-flour-regulations-1998-and-the-bread-and-flour-northern-ireland-regulations-1998/outcome/summary-of-responses-and-government-response" TargetMode="External"/><Relationship Id="rId24" Type="http://schemas.openxmlformats.org/officeDocument/2006/relationships/hyperlink" Target="https://pubmed.ncbi.nlm.nih.gov/8968239/" TargetMode="External"/><Relationship Id="rId32" Type="http://schemas.openxmlformats.org/officeDocument/2006/relationships/hyperlink" Target="https://www.ons.gov.uk/employmentandlabourmarket/peopleinwork/employmentandemployeetypes/datasets/employmentunemploymentandeconomicinactivitybyagegroupseasonallyadjusteda05sa/current" TargetMode="External"/><Relationship Id="rId37" Type="http://schemas.openxmlformats.org/officeDocument/2006/relationships/hyperlink" Target="https://bmjopen.bmj.com/content/10/3/e035714" TargetMode="External"/><Relationship Id="rId40" Type="http://schemas.openxmlformats.org/officeDocument/2006/relationships/hyperlink" Target="https://webarchive.nationalarchives.gov.uk/ukgwa/20110318121117/http:/www.defra.gov.uk/evidence/economics/foodfarm/reports/documents/labelling-changes.pdf" TargetMode="External"/><Relationship Id="rId45" Type="http://schemas.openxmlformats.org/officeDocument/2006/relationships/hyperlink" Target="https://www.nomisweb.co.uk/" TargetMode="External"/><Relationship Id="rId5" Type="http://schemas.openxmlformats.org/officeDocument/2006/relationships/webSettings" Target="webSettings.xml"/><Relationship Id="rId15" Type="http://schemas.openxmlformats.org/officeDocument/2006/relationships/hyperlink" Target="https://www.sciencedirect.com/science/article/pii/S1098301522021015" TargetMode="External"/><Relationship Id="rId23" Type="http://schemas.openxmlformats.org/officeDocument/2006/relationships/hyperlink" Target="https://publichealthscotland.scot/publications/births-in-scotland/births-in-scotland-year-ending-31-march-2022/" TargetMode="External"/><Relationship Id="rId28" Type="http://schemas.openxmlformats.org/officeDocument/2006/relationships/hyperlink" Target="https://www.mpi.govt.nz/dmsdocument/37230-Folic-acid-fortification-both-society-and-individuals-benefit" TargetMode="External"/><Relationship Id="rId36" Type="http://schemas.openxmlformats.org/officeDocument/2006/relationships/hyperlink" Target="https://www.ons.gov.uk/peoplepopulationandcommunity/healthandsocialcare/disability/bulletins/disabilitywellbeingandlonelinessuk/2019"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gov.uk/government/publications/anencephaly-description-in-brief/anencephaly-information-for-parents" TargetMode="External"/><Relationship Id="rId31" Type="http://schemas.openxmlformats.org/officeDocument/2006/relationships/hyperlink" Target="https://link.springer.com/article/10.1007/s00431-011-1492-8" TargetMode="External"/><Relationship Id="rId44" Type="http://schemas.openxmlformats.org/officeDocument/2006/relationships/hyperlink" Target="https://www.ukflourmillers.org/_files/ugd/329f2f_ca7df1a4f5f8424693169a4ec2edd6c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odstandards.gov.scot/publications-and-research/publications/stochastic-modelling-to-estimate-the-potential-impact-of-fortification-of-f" TargetMode="External"/><Relationship Id="rId22" Type="http://schemas.openxmlformats.org/officeDocument/2006/relationships/hyperlink" Target="https://pubmed.ncbi.nlm.nih.gov/21594574/" TargetMode="External"/><Relationship Id="rId27" Type="http://schemas.openxmlformats.org/officeDocument/2006/relationships/hyperlink" Target="https://publichealthscotland.scot/publications/termination-of-pregnancy-statistics/termination-of-pregnancy-statistics-year-ending-december-2022/" TargetMode="External"/><Relationship Id="rId30" Type="http://schemas.openxmlformats.org/officeDocument/2006/relationships/hyperlink" Target="https://www.ons.gov.uk/peoplepopulationandcommunity/healthandsocialcare/disability/articles/disabilitypaygapsintheuk/2021" TargetMode="External"/><Relationship Id="rId35" Type="http://schemas.openxmlformats.org/officeDocument/2006/relationships/hyperlink" Target="https://www.sciencedirect.com/science/article/abs/pii/S0002937819313699?via%3Dihub" TargetMode="External"/><Relationship Id="rId43" Type="http://schemas.openxmlformats.org/officeDocument/2006/relationships/hyperlink" Target="https://www.ukflourmillers.org/_files/ugd/329f2f_ca7df1a4f5f8424693169a4ec2edd6c9.pdf"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the-green-book-appraisal-and-evaluation-in-central-government/the-green-book-2020" TargetMode="External"/><Relationship Id="rId17" Type="http://schemas.openxmlformats.org/officeDocument/2006/relationships/hyperlink" Target="https://www.ons.gov.uk/peoplepopulationandcommunity/birthsdeathsandmarriages/lifeexpectancies/datasets/nationallifetablesunitedkingdomreferencetables" TargetMode="External"/><Relationship Id="rId25" Type="http://schemas.openxmlformats.org/officeDocument/2006/relationships/hyperlink" Target="https://doi.org/10.1111/j.1471-0528.2006.00998.x" TargetMode="External"/><Relationship Id="rId33" Type="http://schemas.openxmlformats.org/officeDocument/2006/relationships/hyperlink" Target="https://www.aihw.gov.au/reports/mothers-babies/neural-tube-defects-prevalence-before-folic-acid/summary" TargetMode="External"/><Relationship Id="rId38" Type="http://schemas.openxmlformats.org/officeDocument/2006/relationships/hyperlink" Target="https://www.ons.gov.uk/employmentandlabourmarket/peopleinwork/earningsandworkinghours/bulletins/indexoflabourcostsperhourilch/julytoseptember2020" TargetMode="External"/><Relationship Id="rId46" Type="http://schemas.openxmlformats.org/officeDocument/2006/relationships/hyperlink" Target="https://www.gov.uk/government/publications/folic-acid-updated-sacn-recommendations" TargetMode="External"/><Relationship Id="rId20" Type="http://schemas.openxmlformats.org/officeDocument/2006/relationships/hyperlink" Target="https://link.springer.com/article/10.1007/s11136-004-3305-2" TargetMode="External"/><Relationship Id="rId41" Type="http://schemas.openxmlformats.org/officeDocument/2006/relationships/hyperlink" Target="https://www.gov.uk/government/statistics/agriculture-in-the-united-kingdom-20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employmentandlabourmarket/peopleinwork/earningsandworkinghours/timeseries/ybuy/lms" TargetMode="External"/><Relationship Id="rId2" Type="http://schemas.openxmlformats.org/officeDocument/2006/relationships/hyperlink" Target="https://www.ons.gov.uk/employmentandlabourmarket/peopleinwork/earningsandworkinghours/timeseries/ybuy/lms" TargetMode="External"/><Relationship Id="rId1" Type="http://schemas.openxmlformats.org/officeDocument/2006/relationships/hyperlink" Target="https://www.uktradeinfo.com/trade-data/" TargetMode="External"/><Relationship Id="rId5" Type="http://schemas.openxmlformats.org/officeDocument/2006/relationships/hyperlink" Target="https://www.gov.uk/government/publications/the-green-book-appraisal-and-evaluation-in-central-governent/the-green-book-2020" TargetMode="External"/><Relationship Id="rId4" Type="http://schemas.openxmlformats.org/officeDocument/2006/relationships/hyperlink" Target="https://assets.publishing.service.gov.uk/government/uploads/system/uploads/attachment_data/file/609201/business-impact-target-guidance-appraisal.pdf" TargetMode="External"/></Relationships>
</file>

<file path=word/theme/theme1.xml><?xml version="1.0" encoding="utf-8"?>
<a:theme xmlns:a="http://schemas.openxmlformats.org/drawingml/2006/main" name="Office Theme">
  <a:themeElements>
    <a:clrScheme name="FSS">
      <a:dk1>
        <a:sysClr val="windowText" lastClr="000000"/>
      </a:dk1>
      <a:lt1>
        <a:sysClr val="window" lastClr="FFFFFF"/>
      </a:lt1>
      <a:dk2>
        <a:srgbClr val="402956"/>
      </a:dk2>
      <a:lt2>
        <a:srgbClr val="E7E6E6"/>
      </a:lt2>
      <a:accent1>
        <a:srgbClr val="402956"/>
      </a:accent1>
      <a:accent2>
        <a:srgbClr val="276944"/>
      </a:accent2>
      <a:accent3>
        <a:srgbClr val="245266"/>
      </a:accent3>
      <a:accent4>
        <a:srgbClr val="009CBD"/>
      </a:accent4>
      <a:accent5>
        <a:srgbClr val="005E5D"/>
      </a:accent5>
      <a:accent6>
        <a:srgbClr val="71CC98"/>
      </a:accent6>
      <a:hlink>
        <a:srgbClr val="245266"/>
      </a:hlink>
      <a:folHlink>
        <a:srgbClr val="40295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4789-53E6-42B0-9DC6-C1E33E39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19988</Words>
  <Characters>113937</Characters>
  <Application>Microsoft Office Word</Application>
  <DocSecurity>0</DocSecurity>
  <Lines>949</Lines>
  <Paragraphs>267</Paragraphs>
  <ScaleCrop>false</ScaleCrop>
  <Company>Scottish Government</Company>
  <LinksUpToDate>false</LinksUpToDate>
  <CharactersWithSpaces>133658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der Meulen</dc:creator>
  <cp:keywords/>
  <dc:description/>
  <cp:lastModifiedBy>Lynn Robertson</cp:lastModifiedBy>
  <cp:revision>71</cp:revision>
  <dcterms:created xsi:type="dcterms:W3CDTF">2024-05-14T19:36:00Z</dcterms:created>
  <dcterms:modified xsi:type="dcterms:W3CDTF">2024-08-19T10:29:00Z</dcterms:modified>
</cp:coreProperties>
</file>